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AE529" w14:textId="77777777" w:rsidR="00D52587" w:rsidRPr="00D52587" w:rsidRDefault="00D52587" w:rsidP="004B40C9">
      <w:pPr>
        <w:pStyle w:val="Heading1"/>
        <w:tabs>
          <w:tab w:val="left" w:pos="900"/>
        </w:tabs>
        <w:ind w:left="0"/>
        <w:rPr>
          <w:rFonts w:asciiTheme="minorHAnsi" w:hAnsiTheme="minorHAnsi" w:cstheme="minorHAnsi"/>
          <w:spacing w:val="-5"/>
        </w:rPr>
      </w:pPr>
    </w:p>
    <w:p w14:paraId="09771C43" w14:textId="6ACA2028" w:rsidR="00D52587" w:rsidRPr="00213DF4" w:rsidRDefault="00D52587" w:rsidP="00286C45">
      <w:pPr>
        <w:ind w:left="1440" w:hanging="1440"/>
        <w:rPr>
          <w:spacing w:val="-5"/>
          <w:sz w:val="24"/>
          <w:szCs w:val="24"/>
        </w:rPr>
      </w:pPr>
      <w:r w:rsidRPr="00213DF4">
        <w:rPr>
          <w:spacing w:val="-5"/>
          <w:sz w:val="24"/>
          <w:szCs w:val="24"/>
        </w:rPr>
        <w:t>PROPOSAL:</w:t>
      </w:r>
      <w:r w:rsidR="00213DF4">
        <w:rPr>
          <w:spacing w:val="-5"/>
          <w:sz w:val="24"/>
          <w:szCs w:val="24"/>
        </w:rPr>
        <w:tab/>
        <w:t xml:space="preserve">To modify </w:t>
      </w:r>
      <w:r w:rsidR="00286C45">
        <w:rPr>
          <w:spacing w:val="-5"/>
          <w:sz w:val="24"/>
          <w:szCs w:val="24"/>
        </w:rPr>
        <w:t>the language of Section</w:t>
      </w:r>
      <w:r w:rsidR="008D37BF">
        <w:rPr>
          <w:spacing w:val="-5"/>
          <w:sz w:val="24"/>
          <w:szCs w:val="24"/>
        </w:rPr>
        <w:t>s</w:t>
      </w:r>
      <w:r w:rsidR="00286C45">
        <w:rPr>
          <w:spacing w:val="-5"/>
          <w:sz w:val="24"/>
          <w:szCs w:val="24"/>
        </w:rPr>
        <w:t xml:space="preserve"> </w:t>
      </w:r>
      <w:r w:rsidR="00CB5943">
        <w:rPr>
          <w:spacing w:val="-5"/>
          <w:sz w:val="24"/>
          <w:szCs w:val="24"/>
        </w:rPr>
        <w:t xml:space="preserve">2.02, 4.04.03.d, Table 4.04A Footnote 1., </w:t>
      </w:r>
      <w:r w:rsidR="00286C45">
        <w:rPr>
          <w:spacing w:val="-5"/>
          <w:sz w:val="24"/>
          <w:szCs w:val="24"/>
        </w:rPr>
        <w:t xml:space="preserve"> </w:t>
      </w:r>
      <w:r w:rsidR="00CB5943">
        <w:rPr>
          <w:spacing w:val="-5"/>
          <w:sz w:val="24"/>
          <w:szCs w:val="24"/>
        </w:rPr>
        <w:t xml:space="preserve">6.03.01.a.2, 6.09.01.a.1 </w:t>
      </w:r>
      <w:r w:rsidR="00286C45">
        <w:rPr>
          <w:spacing w:val="-5"/>
          <w:sz w:val="24"/>
          <w:szCs w:val="24"/>
        </w:rPr>
        <w:t xml:space="preserve">of the </w:t>
      </w:r>
      <w:r w:rsidR="00213DF4">
        <w:rPr>
          <w:spacing w:val="-5"/>
          <w:sz w:val="24"/>
          <w:szCs w:val="24"/>
        </w:rPr>
        <w:t xml:space="preserve">Coventry Zoning Regulations concerning </w:t>
      </w:r>
      <w:r w:rsidR="00F20C78">
        <w:rPr>
          <w:spacing w:val="-5"/>
          <w:sz w:val="24"/>
          <w:szCs w:val="24"/>
        </w:rPr>
        <w:t>two-family dwellings</w:t>
      </w:r>
    </w:p>
    <w:p w14:paraId="1288C14D" w14:textId="77777777" w:rsidR="00D52587" w:rsidRDefault="00D52587" w:rsidP="00286C45">
      <w:pPr>
        <w:ind w:left="1440" w:hanging="1440"/>
        <w:rPr>
          <w:b/>
          <w:bCs/>
          <w:spacing w:val="-5"/>
          <w:sz w:val="24"/>
          <w:szCs w:val="24"/>
        </w:rPr>
      </w:pPr>
    </w:p>
    <w:p w14:paraId="16B3EC3D" w14:textId="5BDE63C0" w:rsidR="00E33DF1" w:rsidRPr="00286C45" w:rsidRDefault="00D52587" w:rsidP="00286C45">
      <w:pPr>
        <w:ind w:left="1440" w:hanging="1440"/>
        <w:rPr>
          <w:spacing w:val="-5"/>
          <w:sz w:val="24"/>
          <w:szCs w:val="24"/>
        </w:rPr>
      </w:pPr>
      <w:r w:rsidRPr="00213DF4">
        <w:rPr>
          <w:spacing w:val="-5"/>
          <w:sz w:val="24"/>
          <w:szCs w:val="24"/>
        </w:rPr>
        <w:t>PURPOSE</w:t>
      </w:r>
      <w:r w:rsidR="003B3B76" w:rsidRPr="00213DF4">
        <w:rPr>
          <w:spacing w:val="-5"/>
          <w:sz w:val="24"/>
          <w:szCs w:val="24"/>
        </w:rPr>
        <w:t>:</w:t>
      </w:r>
      <w:r w:rsidR="003B3B76" w:rsidRPr="00286C45">
        <w:rPr>
          <w:spacing w:val="-5"/>
          <w:sz w:val="24"/>
          <w:szCs w:val="24"/>
        </w:rPr>
        <w:tab/>
      </w:r>
      <w:r w:rsidR="00286C45" w:rsidRPr="00286C45">
        <w:rPr>
          <w:spacing w:val="-5"/>
          <w:sz w:val="24"/>
          <w:szCs w:val="24"/>
        </w:rPr>
        <w:t xml:space="preserve">To </w:t>
      </w:r>
      <w:r w:rsidR="00CB5943">
        <w:rPr>
          <w:spacing w:val="-5"/>
          <w:sz w:val="24"/>
          <w:szCs w:val="24"/>
        </w:rPr>
        <w:t xml:space="preserve">update the definition of family and to </w:t>
      </w:r>
      <w:r w:rsidR="00286C45" w:rsidRPr="00286C45">
        <w:rPr>
          <w:spacing w:val="-5"/>
          <w:sz w:val="24"/>
          <w:szCs w:val="24"/>
        </w:rPr>
        <w:t xml:space="preserve">encourage </w:t>
      </w:r>
      <w:r w:rsidR="00F20C78">
        <w:rPr>
          <w:spacing w:val="-5"/>
          <w:sz w:val="24"/>
          <w:szCs w:val="24"/>
        </w:rPr>
        <w:t>flexible housing options</w:t>
      </w:r>
      <w:r w:rsidR="00AA711B">
        <w:rPr>
          <w:spacing w:val="-5"/>
          <w:sz w:val="24"/>
          <w:szCs w:val="24"/>
        </w:rPr>
        <w:t xml:space="preserve"> by eliminating the increased lot size for two-family dwellings and to allow two family dwellings in the Village Residential Zone</w:t>
      </w:r>
    </w:p>
    <w:p w14:paraId="13F838B2" w14:textId="77777777" w:rsidR="00D52587" w:rsidRDefault="00D52587" w:rsidP="00286C45">
      <w:pPr>
        <w:pBdr>
          <w:bottom w:val="dotted" w:sz="24" w:space="1" w:color="auto"/>
        </w:pBdr>
        <w:ind w:left="1440" w:hanging="1440"/>
        <w:rPr>
          <w:b/>
          <w:spacing w:val="-2"/>
          <w:sz w:val="24"/>
          <w:szCs w:val="24"/>
        </w:rPr>
      </w:pPr>
    </w:p>
    <w:p w14:paraId="23ACAB96" w14:textId="77777777" w:rsidR="00D52587" w:rsidRDefault="00D52587" w:rsidP="00EC4EC8">
      <w:pPr>
        <w:rPr>
          <w:rFonts w:asciiTheme="minorHAnsi" w:hAnsiTheme="minorHAnsi" w:cstheme="minorHAnsi"/>
          <w:b/>
          <w:spacing w:val="-2"/>
          <w:sz w:val="24"/>
          <w:szCs w:val="24"/>
          <w:u w:val="single"/>
        </w:rPr>
      </w:pPr>
      <w:bookmarkStart w:id="0" w:name="_Hlk153200134"/>
    </w:p>
    <w:p w14:paraId="284CA240" w14:textId="77777777" w:rsidR="00652BFB" w:rsidRPr="00652BFB" w:rsidRDefault="00652BFB" w:rsidP="00652BFB">
      <w:pPr>
        <w:rPr>
          <w:rFonts w:asciiTheme="minorHAnsi" w:hAnsiTheme="minorHAnsi" w:cstheme="minorHAnsi"/>
          <w:b/>
          <w:spacing w:val="-2"/>
          <w:sz w:val="24"/>
          <w:szCs w:val="24"/>
          <w:u w:val="single"/>
        </w:rPr>
      </w:pPr>
      <w:bookmarkStart w:id="1" w:name="_Toc323218337"/>
      <w:bookmarkStart w:id="2" w:name="_Toc323220407"/>
      <w:bookmarkStart w:id="3" w:name="_Toc327450273"/>
      <w:bookmarkStart w:id="4" w:name="_Toc328558710"/>
      <w:bookmarkStart w:id="5" w:name="_Toc156548902"/>
      <w:r w:rsidRPr="00652BFB">
        <w:rPr>
          <w:rFonts w:asciiTheme="minorHAnsi" w:hAnsiTheme="minorHAnsi" w:cstheme="minorHAnsi"/>
          <w:b/>
          <w:spacing w:val="-2"/>
          <w:sz w:val="24"/>
          <w:szCs w:val="24"/>
          <w:u w:val="single"/>
        </w:rPr>
        <w:t>Section 2.02</w:t>
      </w:r>
      <w:r w:rsidRPr="00652BFB">
        <w:rPr>
          <w:rFonts w:asciiTheme="minorHAnsi" w:hAnsiTheme="minorHAnsi" w:cstheme="minorHAnsi"/>
          <w:b/>
          <w:spacing w:val="-2"/>
          <w:sz w:val="24"/>
          <w:szCs w:val="24"/>
          <w:u w:val="single"/>
        </w:rPr>
        <w:tab/>
        <w:t>Definitions</w:t>
      </w:r>
      <w:bookmarkEnd w:id="1"/>
      <w:bookmarkEnd w:id="2"/>
      <w:bookmarkEnd w:id="3"/>
      <w:bookmarkEnd w:id="4"/>
      <w:bookmarkEnd w:id="5"/>
    </w:p>
    <w:p w14:paraId="68FF6182" w14:textId="77777777" w:rsidR="00652BFB" w:rsidRPr="00652BFB" w:rsidRDefault="00652BFB" w:rsidP="00EC4EC8">
      <w:pPr>
        <w:rPr>
          <w:rFonts w:asciiTheme="minorHAnsi" w:hAnsiTheme="minorHAnsi" w:cstheme="minorHAnsi"/>
          <w:b/>
          <w:spacing w:val="-2"/>
          <w:sz w:val="24"/>
          <w:szCs w:val="24"/>
          <w:u w:val="single"/>
        </w:rPr>
      </w:pPr>
    </w:p>
    <w:p w14:paraId="10FF67EE" w14:textId="77777777" w:rsidR="00652BFB" w:rsidRPr="00652BFB" w:rsidRDefault="00652BFB" w:rsidP="00652BFB">
      <w:pPr>
        <w:widowControl/>
        <w:adjustRightInd w:val="0"/>
        <w:jc w:val="both"/>
        <w:rPr>
          <w:strike/>
          <w:sz w:val="24"/>
          <w:szCs w:val="24"/>
        </w:rPr>
      </w:pPr>
      <w:r w:rsidRPr="00652BFB">
        <w:rPr>
          <w:b/>
          <w:strike/>
          <w:sz w:val="24"/>
          <w:szCs w:val="24"/>
          <w:highlight w:val="yellow"/>
        </w:rPr>
        <w:t>Family</w:t>
      </w:r>
      <w:r w:rsidRPr="00652BFB">
        <w:rPr>
          <w:strike/>
          <w:sz w:val="24"/>
          <w:szCs w:val="24"/>
          <w:highlight w:val="yellow"/>
        </w:rPr>
        <w:t>:  One (1) person, or two (2) or more persons related by blood, adoption, marriage, civil union, or legal guardianship; living, sleeping, cooking, and eating as a single housekeeping unit on the same premises.  The term "family" shall also be deemed to include (i) up to four (4) persons living and cooking together as a single housekeeping unit on the same premises, even though not all are related by blood, adoption, or marriage; and (ii) domestic servants.  Roomers, boarders, and other paying guests shall not be deemed to be a part of any family as defined herein.</w:t>
      </w:r>
    </w:p>
    <w:p w14:paraId="65EDCB5E" w14:textId="77777777" w:rsidR="00652BFB" w:rsidRDefault="00652BFB" w:rsidP="00EC4EC8">
      <w:pPr>
        <w:rPr>
          <w:rFonts w:asciiTheme="minorHAnsi" w:hAnsiTheme="minorHAnsi" w:cstheme="minorHAnsi"/>
          <w:b/>
          <w:spacing w:val="-2"/>
          <w:sz w:val="24"/>
          <w:szCs w:val="24"/>
          <w:u w:val="single"/>
        </w:rPr>
      </w:pPr>
    </w:p>
    <w:p w14:paraId="1EEB30B5" w14:textId="066A31B7" w:rsidR="00652BFB" w:rsidRPr="00652BFB" w:rsidRDefault="00652BFB" w:rsidP="00EC4EC8">
      <w:pPr>
        <w:rPr>
          <w:rFonts w:asciiTheme="minorHAnsi" w:hAnsiTheme="minorHAnsi" w:cstheme="minorHAnsi"/>
          <w:b/>
          <w:spacing w:val="-2"/>
          <w:sz w:val="24"/>
          <w:szCs w:val="24"/>
        </w:rPr>
      </w:pPr>
      <w:r w:rsidRPr="00652BFB">
        <w:rPr>
          <w:rFonts w:asciiTheme="minorHAnsi" w:hAnsiTheme="minorHAnsi" w:cstheme="minorHAnsi"/>
          <w:b/>
          <w:spacing w:val="-2"/>
          <w:sz w:val="24"/>
          <w:szCs w:val="24"/>
          <w:highlight w:val="yellow"/>
        </w:rPr>
        <w:t>F</w:t>
      </w:r>
      <w:r w:rsidRPr="00652BFB">
        <w:rPr>
          <w:rFonts w:asciiTheme="minorHAnsi" w:hAnsiTheme="minorHAnsi" w:cstheme="minorHAnsi"/>
          <w:b/>
          <w:spacing w:val="-2"/>
          <w:sz w:val="24"/>
          <w:szCs w:val="24"/>
          <w:highlight w:val="yellow"/>
        </w:rPr>
        <w:t>amily:</w:t>
      </w:r>
      <w:r w:rsidRPr="00652BFB">
        <w:rPr>
          <w:rFonts w:asciiTheme="minorHAnsi" w:hAnsiTheme="minorHAnsi" w:cstheme="minorHAnsi"/>
          <w:b/>
          <w:spacing w:val="-2"/>
          <w:sz w:val="24"/>
          <w:szCs w:val="24"/>
          <w:highlight w:val="yellow"/>
        </w:rPr>
        <w:t xml:space="preserve"> Any number of individuals living together as a single housekeeping unit and doing their cooking on the premises, as distinguished from a group occupying a boarding or rooming house, or hotel or dormitory</w:t>
      </w:r>
    </w:p>
    <w:p w14:paraId="0202AF51" w14:textId="77777777" w:rsidR="00652BFB" w:rsidRDefault="00652BFB" w:rsidP="00EC4EC8">
      <w:pPr>
        <w:rPr>
          <w:rFonts w:asciiTheme="minorHAnsi" w:hAnsiTheme="minorHAnsi" w:cstheme="minorHAnsi"/>
          <w:b/>
          <w:spacing w:val="-2"/>
          <w:sz w:val="24"/>
          <w:szCs w:val="24"/>
          <w:u w:val="single"/>
        </w:rPr>
      </w:pPr>
    </w:p>
    <w:p w14:paraId="408A3426" w14:textId="77777777" w:rsidR="00652BFB" w:rsidRPr="00F20C78" w:rsidRDefault="00652BFB" w:rsidP="00EC4EC8">
      <w:pPr>
        <w:rPr>
          <w:rFonts w:asciiTheme="minorHAnsi" w:hAnsiTheme="minorHAnsi" w:cstheme="minorHAnsi"/>
          <w:b/>
          <w:spacing w:val="-2"/>
          <w:sz w:val="24"/>
          <w:szCs w:val="24"/>
          <w:u w:val="single"/>
        </w:rPr>
      </w:pPr>
    </w:p>
    <w:p w14:paraId="5939DF49" w14:textId="71D38034" w:rsidR="00F20C78" w:rsidRPr="00F20C78" w:rsidRDefault="00F20C78" w:rsidP="00EC4EC8">
      <w:pPr>
        <w:rPr>
          <w:rFonts w:asciiTheme="minorHAnsi" w:hAnsiTheme="minorHAnsi" w:cstheme="minorHAnsi"/>
          <w:b/>
          <w:spacing w:val="-2"/>
          <w:sz w:val="24"/>
          <w:szCs w:val="24"/>
          <w:u w:val="single"/>
        </w:rPr>
      </w:pPr>
      <w:r w:rsidRPr="00F20C78">
        <w:rPr>
          <w:rFonts w:asciiTheme="minorHAnsi" w:hAnsiTheme="minorHAnsi" w:cstheme="minorHAnsi"/>
          <w:b/>
          <w:spacing w:val="-2"/>
          <w:sz w:val="24"/>
          <w:szCs w:val="24"/>
          <w:u w:val="single"/>
        </w:rPr>
        <w:t>Section 4.04</w:t>
      </w:r>
      <w:r w:rsidRPr="00F20C78">
        <w:rPr>
          <w:rFonts w:asciiTheme="minorHAnsi" w:hAnsiTheme="minorHAnsi" w:cstheme="minorHAnsi"/>
          <w:b/>
          <w:spacing w:val="-2"/>
          <w:sz w:val="24"/>
          <w:szCs w:val="24"/>
          <w:u w:val="single"/>
        </w:rPr>
        <w:tab/>
        <w:t>Dimensional Standards</w:t>
      </w:r>
    </w:p>
    <w:p w14:paraId="695E36A0" w14:textId="77777777" w:rsidR="00F20C78" w:rsidRPr="00F20C78" w:rsidRDefault="00F20C78" w:rsidP="00F20C78">
      <w:pPr>
        <w:widowControl/>
        <w:adjustRightInd w:val="0"/>
        <w:jc w:val="both"/>
        <w:rPr>
          <w:sz w:val="24"/>
          <w:szCs w:val="24"/>
        </w:rPr>
      </w:pPr>
    </w:p>
    <w:p w14:paraId="6CD4D894" w14:textId="77777777" w:rsidR="00F20C78" w:rsidRPr="00F20C78" w:rsidRDefault="00F20C78" w:rsidP="00F20C78">
      <w:pPr>
        <w:pStyle w:val="Heading1"/>
        <w:ind w:left="0"/>
      </w:pPr>
      <w:bookmarkStart w:id="6" w:name="_Toc323218359"/>
      <w:bookmarkStart w:id="7" w:name="_Toc323220429"/>
      <w:bookmarkStart w:id="8" w:name="_Toc327450295"/>
      <w:bookmarkStart w:id="9" w:name="_Toc328558732"/>
      <w:bookmarkStart w:id="10" w:name="_Toc156548923"/>
      <w:r w:rsidRPr="00F20C78">
        <w:t>Section 4.04.03</w:t>
      </w:r>
      <w:r w:rsidRPr="00F20C78">
        <w:tab/>
        <w:t>Lot Area</w:t>
      </w:r>
      <w:bookmarkEnd w:id="6"/>
      <w:bookmarkEnd w:id="7"/>
      <w:bookmarkEnd w:id="8"/>
      <w:bookmarkEnd w:id="9"/>
      <w:bookmarkEnd w:id="10"/>
    </w:p>
    <w:p w14:paraId="3C858BE5" w14:textId="77777777" w:rsidR="00F20C78" w:rsidRPr="00F20C78" w:rsidRDefault="00F20C78" w:rsidP="00F20C78">
      <w:pPr>
        <w:widowControl/>
        <w:adjustRightInd w:val="0"/>
        <w:jc w:val="both"/>
        <w:rPr>
          <w:sz w:val="24"/>
          <w:szCs w:val="24"/>
        </w:rPr>
      </w:pPr>
    </w:p>
    <w:p w14:paraId="6A5499D8" w14:textId="77777777" w:rsidR="00F20C78" w:rsidRPr="00F20C78" w:rsidRDefault="00F20C78" w:rsidP="00F20C78">
      <w:pPr>
        <w:pStyle w:val="ListParagraph"/>
        <w:widowControl/>
        <w:numPr>
          <w:ilvl w:val="0"/>
          <w:numId w:val="11"/>
        </w:numPr>
        <w:adjustRightInd w:val="0"/>
        <w:contextualSpacing/>
        <w:jc w:val="both"/>
        <w:rPr>
          <w:sz w:val="24"/>
          <w:szCs w:val="24"/>
        </w:rPr>
      </w:pPr>
      <w:r w:rsidRPr="00F20C78">
        <w:rPr>
          <w:sz w:val="24"/>
          <w:szCs w:val="24"/>
        </w:rPr>
        <w:t>Basic Requirements:  The required minimum area of a lot as established by these Regulations must be in contiguous land and shall be measured exclusive of any accessway.</w:t>
      </w:r>
    </w:p>
    <w:p w14:paraId="4A9EE283" w14:textId="77777777" w:rsidR="00F20C78" w:rsidRPr="00F20C78" w:rsidRDefault="00F20C78" w:rsidP="00F20C78">
      <w:pPr>
        <w:widowControl/>
        <w:adjustRightInd w:val="0"/>
        <w:ind w:firstLine="720"/>
        <w:jc w:val="both"/>
        <w:rPr>
          <w:sz w:val="24"/>
          <w:szCs w:val="24"/>
        </w:rPr>
      </w:pPr>
    </w:p>
    <w:p w14:paraId="4C649CC5" w14:textId="77777777" w:rsidR="00F20C78" w:rsidRPr="00F20C78" w:rsidRDefault="00F20C78" w:rsidP="00F20C78">
      <w:pPr>
        <w:widowControl/>
        <w:adjustRightInd w:val="0"/>
        <w:ind w:firstLine="720"/>
        <w:jc w:val="both"/>
        <w:rPr>
          <w:sz w:val="24"/>
          <w:szCs w:val="24"/>
        </w:rPr>
      </w:pPr>
      <w:r w:rsidRPr="00F20C78">
        <w:rPr>
          <w:sz w:val="24"/>
          <w:szCs w:val="24"/>
        </w:rPr>
        <w:t>In addition, for the purpose of determining minimum lot area or parcel size and maximum lot coverage in all zones and districts, all of the following shall be excluded:</w:t>
      </w:r>
    </w:p>
    <w:p w14:paraId="4ADF21F5" w14:textId="77777777" w:rsidR="00F20C78" w:rsidRPr="00F20C78" w:rsidRDefault="00F20C78" w:rsidP="00F20C78">
      <w:pPr>
        <w:widowControl/>
        <w:adjustRightInd w:val="0"/>
        <w:ind w:firstLine="720"/>
        <w:jc w:val="both"/>
        <w:rPr>
          <w:sz w:val="24"/>
          <w:szCs w:val="24"/>
        </w:rPr>
      </w:pPr>
    </w:p>
    <w:p w14:paraId="6D269F86" w14:textId="77777777" w:rsidR="00F20C78" w:rsidRPr="00F20C78" w:rsidRDefault="00F20C78" w:rsidP="00F20C78">
      <w:pPr>
        <w:widowControl/>
        <w:adjustRightInd w:val="0"/>
        <w:ind w:left="1440" w:right="720" w:hanging="720"/>
        <w:jc w:val="both"/>
        <w:rPr>
          <w:sz w:val="24"/>
          <w:szCs w:val="24"/>
        </w:rPr>
      </w:pPr>
      <w:r w:rsidRPr="00F20C78">
        <w:rPr>
          <w:sz w:val="24"/>
          <w:szCs w:val="24"/>
        </w:rPr>
        <w:t>1.</w:t>
      </w:r>
      <w:r w:rsidRPr="00F20C78">
        <w:rPr>
          <w:sz w:val="24"/>
          <w:szCs w:val="24"/>
        </w:rPr>
        <w:tab/>
        <w:t>Areas that are submerged during the mean annual high water level of watercourses, as defined by Conn. Gen. Stat. Section 22a-38.</w:t>
      </w:r>
    </w:p>
    <w:p w14:paraId="7DC2CA9E" w14:textId="77777777" w:rsidR="00F20C78" w:rsidRPr="00F20C78" w:rsidRDefault="00F20C78" w:rsidP="00F20C78">
      <w:pPr>
        <w:widowControl/>
        <w:adjustRightInd w:val="0"/>
        <w:ind w:left="1440" w:right="720" w:hanging="720"/>
        <w:jc w:val="both"/>
        <w:rPr>
          <w:sz w:val="24"/>
          <w:szCs w:val="24"/>
        </w:rPr>
      </w:pPr>
    </w:p>
    <w:p w14:paraId="34E401D1" w14:textId="77777777" w:rsidR="00F20C78" w:rsidRPr="00F20C78" w:rsidRDefault="00F20C78" w:rsidP="00F20C78">
      <w:pPr>
        <w:widowControl/>
        <w:adjustRightInd w:val="0"/>
        <w:ind w:left="1440" w:right="720" w:hanging="720"/>
        <w:jc w:val="both"/>
        <w:rPr>
          <w:sz w:val="24"/>
          <w:szCs w:val="24"/>
        </w:rPr>
      </w:pPr>
      <w:r w:rsidRPr="00F20C78">
        <w:rPr>
          <w:sz w:val="24"/>
          <w:szCs w:val="24"/>
        </w:rPr>
        <w:t>2.</w:t>
      </w:r>
      <w:r w:rsidRPr="00F20C78">
        <w:rPr>
          <w:sz w:val="24"/>
          <w:szCs w:val="24"/>
        </w:rPr>
        <w:tab/>
        <w:t xml:space="preserve">In zoning districts for which the minimum lot area requirement pursuant to Section 10 is 40,000 square feet or less, fifty percent (50%) of the areas defined as inland wetlands or watercourses by Conn. Gen. Stat. Section 22a-38. </w:t>
      </w:r>
    </w:p>
    <w:p w14:paraId="2A26707D" w14:textId="77777777" w:rsidR="00F20C78" w:rsidRPr="00F20C78" w:rsidRDefault="00F20C78" w:rsidP="00F20C78">
      <w:pPr>
        <w:widowControl/>
        <w:adjustRightInd w:val="0"/>
        <w:ind w:left="1440" w:right="720" w:hanging="720"/>
        <w:jc w:val="both"/>
        <w:rPr>
          <w:sz w:val="24"/>
          <w:szCs w:val="24"/>
        </w:rPr>
      </w:pPr>
    </w:p>
    <w:p w14:paraId="1FB642C7" w14:textId="77777777" w:rsidR="00F20C78" w:rsidRPr="00F20C78" w:rsidRDefault="00F20C78" w:rsidP="00F20C78">
      <w:pPr>
        <w:widowControl/>
        <w:adjustRightInd w:val="0"/>
        <w:ind w:left="1440" w:right="720" w:hanging="720"/>
        <w:jc w:val="both"/>
        <w:rPr>
          <w:sz w:val="24"/>
          <w:szCs w:val="24"/>
        </w:rPr>
      </w:pPr>
      <w:r w:rsidRPr="00F20C78">
        <w:rPr>
          <w:sz w:val="24"/>
          <w:szCs w:val="24"/>
        </w:rPr>
        <w:lastRenderedPageBreak/>
        <w:t>3.</w:t>
      </w:r>
      <w:r w:rsidRPr="00F20C78">
        <w:rPr>
          <w:sz w:val="24"/>
          <w:szCs w:val="24"/>
        </w:rPr>
        <w:tab/>
        <w:t>In zoning districts for which the minimum lot area requirement pursuant to Section 10 is greater than 40,000 square feet, twenty-five percent (25%) of the areas defined as inland wetlands or watercourses by Conn. Gen. Stat. Section 22a-38.</w:t>
      </w:r>
    </w:p>
    <w:p w14:paraId="2E2C9E31" w14:textId="77777777" w:rsidR="00F20C78" w:rsidRPr="00F20C78" w:rsidRDefault="00F20C78" w:rsidP="00F20C78">
      <w:pPr>
        <w:widowControl/>
        <w:adjustRightInd w:val="0"/>
        <w:jc w:val="both"/>
        <w:rPr>
          <w:sz w:val="24"/>
          <w:szCs w:val="24"/>
        </w:rPr>
      </w:pPr>
      <w:r w:rsidRPr="00F20C78">
        <w:rPr>
          <w:sz w:val="24"/>
          <w:szCs w:val="24"/>
        </w:rPr>
        <w:t xml:space="preserve"> </w:t>
      </w:r>
    </w:p>
    <w:p w14:paraId="00BD85BC" w14:textId="77777777" w:rsidR="00F20C78" w:rsidRPr="00F20C78" w:rsidRDefault="00F20C78" w:rsidP="00F20C78">
      <w:pPr>
        <w:pStyle w:val="ListParagraph"/>
        <w:widowControl/>
        <w:numPr>
          <w:ilvl w:val="0"/>
          <w:numId w:val="11"/>
        </w:numPr>
        <w:adjustRightInd w:val="0"/>
        <w:contextualSpacing/>
        <w:jc w:val="both"/>
        <w:rPr>
          <w:sz w:val="24"/>
          <w:szCs w:val="24"/>
        </w:rPr>
      </w:pPr>
      <w:r w:rsidRPr="00F20C78">
        <w:rPr>
          <w:sz w:val="24"/>
          <w:szCs w:val="24"/>
        </w:rPr>
        <w:t>Multiplication Factors for Property on Substandard Roads:  The Commission finds that the maximum densities of development (i.e., minimum lot sizes) otherwise permitted under these Regulations are appropriate only for property abutting roads that meet current Town standards for width, pavement and drainage.  Since those standards are intended to protect public health and safety, and since greater development densities both cause and allow greater traffic volumes, the Commission further finds that the maximum allowable densities should be reduced (i.e., that minimum lot sizes should be increased) along existing roads that do not meet the current Town standards.  Therefore, the minimum lot areas shown in Table 4.04A must be multiplied by the following adjustment factors for each of the following circumstances:</w:t>
      </w:r>
    </w:p>
    <w:p w14:paraId="01C03F2A" w14:textId="77777777" w:rsidR="00F20C78" w:rsidRPr="00F20C78" w:rsidRDefault="00F20C78" w:rsidP="00F20C78">
      <w:pPr>
        <w:widowControl/>
        <w:adjustRightInd w:val="0"/>
        <w:jc w:val="both"/>
        <w:rPr>
          <w:sz w:val="24"/>
          <w:szCs w:val="24"/>
        </w:rPr>
      </w:pPr>
    </w:p>
    <w:p w14:paraId="4743D4C6" w14:textId="77777777" w:rsidR="00F20C78" w:rsidRPr="00F20C78" w:rsidRDefault="00F20C78" w:rsidP="00F20C78">
      <w:pPr>
        <w:widowControl/>
        <w:adjustRightInd w:val="0"/>
        <w:jc w:val="both"/>
        <w:rPr>
          <w:sz w:val="24"/>
          <w:szCs w:val="24"/>
        </w:rPr>
      </w:pPr>
      <w:r w:rsidRPr="00F20C78">
        <w:rPr>
          <w:sz w:val="24"/>
          <w:szCs w:val="24"/>
        </w:rPr>
        <w:t>Circumstances</w:t>
      </w:r>
      <w:r w:rsidRPr="00F20C78">
        <w:rPr>
          <w:sz w:val="24"/>
          <w:szCs w:val="24"/>
        </w:rPr>
        <w:tab/>
      </w:r>
      <w:r w:rsidRPr="00F20C78">
        <w:rPr>
          <w:sz w:val="24"/>
          <w:szCs w:val="24"/>
        </w:rPr>
        <w:tab/>
      </w:r>
      <w:r w:rsidRPr="00F20C78">
        <w:rPr>
          <w:sz w:val="24"/>
          <w:szCs w:val="24"/>
        </w:rPr>
        <w:tab/>
      </w:r>
      <w:r w:rsidRPr="00F20C78">
        <w:rPr>
          <w:sz w:val="24"/>
          <w:szCs w:val="24"/>
        </w:rPr>
        <w:tab/>
      </w:r>
      <w:r w:rsidRPr="00F20C78">
        <w:rPr>
          <w:sz w:val="24"/>
          <w:szCs w:val="24"/>
        </w:rPr>
        <w:tab/>
      </w:r>
      <w:r w:rsidRPr="00F20C78">
        <w:rPr>
          <w:sz w:val="24"/>
          <w:szCs w:val="24"/>
        </w:rPr>
        <w:tab/>
      </w:r>
      <w:r w:rsidRPr="00F20C78">
        <w:rPr>
          <w:sz w:val="24"/>
          <w:szCs w:val="24"/>
        </w:rPr>
        <w:tab/>
        <w:t>Adjustment Factor</w:t>
      </w:r>
    </w:p>
    <w:p w14:paraId="10467CD8" w14:textId="77777777" w:rsidR="00F20C78" w:rsidRPr="00F20C78" w:rsidRDefault="00F20C78" w:rsidP="00F20C78">
      <w:pPr>
        <w:widowControl/>
        <w:adjustRightInd w:val="0"/>
        <w:jc w:val="both"/>
        <w:rPr>
          <w:sz w:val="24"/>
          <w:szCs w:val="24"/>
        </w:rPr>
      </w:pPr>
    </w:p>
    <w:p w14:paraId="7B302B94" w14:textId="77777777" w:rsidR="00F20C78" w:rsidRPr="00F20C78" w:rsidRDefault="00F20C78" w:rsidP="00F20C78">
      <w:pPr>
        <w:widowControl/>
        <w:adjustRightInd w:val="0"/>
        <w:jc w:val="both"/>
        <w:rPr>
          <w:sz w:val="24"/>
          <w:szCs w:val="24"/>
        </w:rPr>
      </w:pPr>
      <w:r w:rsidRPr="00F20C78">
        <w:rPr>
          <w:sz w:val="24"/>
          <w:szCs w:val="24"/>
        </w:rPr>
        <w:t>Lots having frontage on unpaved streets</w:t>
      </w:r>
      <w:r w:rsidRPr="00F20C78">
        <w:rPr>
          <w:sz w:val="24"/>
          <w:szCs w:val="24"/>
        </w:rPr>
        <w:tab/>
      </w:r>
      <w:r w:rsidRPr="00F20C78">
        <w:rPr>
          <w:sz w:val="24"/>
          <w:szCs w:val="24"/>
        </w:rPr>
        <w:tab/>
      </w:r>
      <w:r w:rsidRPr="00F20C78">
        <w:rPr>
          <w:sz w:val="24"/>
          <w:szCs w:val="24"/>
        </w:rPr>
        <w:tab/>
      </w:r>
      <w:r w:rsidRPr="00F20C78">
        <w:rPr>
          <w:sz w:val="24"/>
          <w:szCs w:val="24"/>
        </w:rPr>
        <w:tab/>
      </w:r>
      <w:r w:rsidRPr="00F20C78">
        <w:rPr>
          <w:sz w:val="24"/>
          <w:szCs w:val="24"/>
        </w:rPr>
        <w:tab/>
        <w:t>1.3</w:t>
      </w:r>
    </w:p>
    <w:p w14:paraId="0204C70D" w14:textId="77777777" w:rsidR="00F20C78" w:rsidRPr="00F20C78" w:rsidRDefault="00F20C78" w:rsidP="00F20C78">
      <w:pPr>
        <w:widowControl/>
        <w:adjustRightInd w:val="0"/>
        <w:jc w:val="both"/>
        <w:rPr>
          <w:sz w:val="24"/>
          <w:szCs w:val="24"/>
        </w:rPr>
      </w:pPr>
    </w:p>
    <w:p w14:paraId="0C5501FC" w14:textId="77777777" w:rsidR="00F20C78" w:rsidRPr="00F20C78" w:rsidRDefault="00F20C78" w:rsidP="00F20C78">
      <w:pPr>
        <w:widowControl/>
        <w:adjustRightInd w:val="0"/>
        <w:jc w:val="both"/>
        <w:rPr>
          <w:sz w:val="24"/>
          <w:szCs w:val="24"/>
        </w:rPr>
      </w:pPr>
      <w:r w:rsidRPr="00F20C78">
        <w:rPr>
          <w:sz w:val="24"/>
          <w:szCs w:val="24"/>
        </w:rPr>
        <w:t>Lots having frontage on streets that do</w:t>
      </w:r>
    </w:p>
    <w:p w14:paraId="3439E63C" w14:textId="77777777" w:rsidR="00F20C78" w:rsidRPr="00F20C78" w:rsidRDefault="00F20C78" w:rsidP="00F20C78">
      <w:pPr>
        <w:widowControl/>
        <w:adjustRightInd w:val="0"/>
        <w:jc w:val="both"/>
        <w:rPr>
          <w:sz w:val="24"/>
          <w:szCs w:val="24"/>
        </w:rPr>
      </w:pPr>
      <w:r w:rsidRPr="00F20C78">
        <w:rPr>
          <w:sz w:val="24"/>
          <w:szCs w:val="24"/>
        </w:rPr>
        <w:t xml:space="preserve">not meet current Town standards for </w:t>
      </w:r>
    </w:p>
    <w:p w14:paraId="2C42536C" w14:textId="77777777" w:rsidR="00F20C78" w:rsidRPr="00F20C78" w:rsidRDefault="00F20C78" w:rsidP="00F20C78">
      <w:pPr>
        <w:widowControl/>
        <w:adjustRightInd w:val="0"/>
        <w:jc w:val="both"/>
        <w:rPr>
          <w:sz w:val="24"/>
          <w:szCs w:val="24"/>
        </w:rPr>
      </w:pPr>
      <w:r w:rsidRPr="00F20C78">
        <w:rPr>
          <w:sz w:val="24"/>
          <w:szCs w:val="24"/>
        </w:rPr>
        <w:t>drainage improvements</w:t>
      </w:r>
      <w:r w:rsidRPr="00F20C78">
        <w:rPr>
          <w:sz w:val="24"/>
          <w:szCs w:val="24"/>
        </w:rPr>
        <w:tab/>
      </w:r>
      <w:r w:rsidRPr="00F20C78">
        <w:rPr>
          <w:sz w:val="24"/>
          <w:szCs w:val="24"/>
        </w:rPr>
        <w:tab/>
      </w:r>
      <w:r w:rsidRPr="00F20C78">
        <w:rPr>
          <w:sz w:val="24"/>
          <w:szCs w:val="24"/>
        </w:rPr>
        <w:tab/>
      </w:r>
      <w:r w:rsidRPr="00F20C78">
        <w:rPr>
          <w:sz w:val="24"/>
          <w:szCs w:val="24"/>
        </w:rPr>
        <w:tab/>
      </w:r>
      <w:r w:rsidRPr="00F20C78">
        <w:rPr>
          <w:sz w:val="24"/>
          <w:szCs w:val="24"/>
        </w:rPr>
        <w:tab/>
      </w:r>
      <w:r w:rsidRPr="00F20C78">
        <w:rPr>
          <w:sz w:val="24"/>
          <w:szCs w:val="24"/>
        </w:rPr>
        <w:tab/>
      </w:r>
      <w:r w:rsidRPr="00F20C78">
        <w:rPr>
          <w:sz w:val="24"/>
          <w:szCs w:val="24"/>
        </w:rPr>
        <w:tab/>
        <w:t>1.3</w:t>
      </w:r>
    </w:p>
    <w:p w14:paraId="07871358" w14:textId="77777777" w:rsidR="00F20C78" w:rsidRPr="00F20C78" w:rsidRDefault="00F20C78" w:rsidP="00F20C78">
      <w:pPr>
        <w:widowControl/>
        <w:adjustRightInd w:val="0"/>
        <w:jc w:val="both"/>
        <w:rPr>
          <w:sz w:val="24"/>
          <w:szCs w:val="24"/>
        </w:rPr>
      </w:pPr>
    </w:p>
    <w:p w14:paraId="63FDBC2B" w14:textId="77777777" w:rsidR="00F20C78" w:rsidRPr="00F20C78" w:rsidRDefault="00F20C78" w:rsidP="00F20C78">
      <w:pPr>
        <w:widowControl/>
        <w:adjustRightInd w:val="0"/>
        <w:jc w:val="both"/>
        <w:rPr>
          <w:sz w:val="24"/>
          <w:szCs w:val="24"/>
        </w:rPr>
      </w:pPr>
      <w:r w:rsidRPr="00F20C78">
        <w:rPr>
          <w:sz w:val="24"/>
          <w:szCs w:val="24"/>
        </w:rPr>
        <w:t>Lots having frontage on streets that do</w:t>
      </w:r>
    </w:p>
    <w:p w14:paraId="1828B1BA" w14:textId="77777777" w:rsidR="00F20C78" w:rsidRPr="00F20C78" w:rsidRDefault="00F20C78" w:rsidP="00F20C78">
      <w:pPr>
        <w:widowControl/>
        <w:adjustRightInd w:val="0"/>
        <w:jc w:val="both"/>
        <w:rPr>
          <w:sz w:val="24"/>
          <w:szCs w:val="24"/>
        </w:rPr>
      </w:pPr>
      <w:r w:rsidRPr="00F20C78">
        <w:rPr>
          <w:sz w:val="24"/>
          <w:szCs w:val="24"/>
        </w:rPr>
        <w:t>not meet current Town standards for the</w:t>
      </w:r>
    </w:p>
    <w:p w14:paraId="6C36DE2C" w14:textId="77777777" w:rsidR="00F20C78" w:rsidRPr="00F20C78" w:rsidRDefault="00F20C78" w:rsidP="00F20C78">
      <w:pPr>
        <w:widowControl/>
        <w:adjustRightInd w:val="0"/>
        <w:jc w:val="both"/>
        <w:rPr>
          <w:sz w:val="24"/>
          <w:szCs w:val="24"/>
        </w:rPr>
      </w:pPr>
      <w:r w:rsidRPr="00F20C78">
        <w:rPr>
          <w:sz w:val="24"/>
          <w:szCs w:val="24"/>
        </w:rPr>
        <w:t>width of the travelway (the portion of</w:t>
      </w:r>
    </w:p>
    <w:p w14:paraId="0FF62145" w14:textId="76B333FE" w:rsidR="00F20C78" w:rsidRPr="00F20C78" w:rsidRDefault="00F20C78" w:rsidP="00F20C78">
      <w:pPr>
        <w:widowControl/>
        <w:adjustRightInd w:val="0"/>
        <w:jc w:val="both"/>
        <w:rPr>
          <w:sz w:val="24"/>
          <w:szCs w:val="24"/>
        </w:rPr>
      </w:pPr>
      <w:r w:rsidRPr="00F20C78">
        <w:rPr>
          <w:sz w:val="24"/>
          <w:szCs w:val="24"/>
        </w:rPr>
        <w:t>the street actually used for travel)</w:t>
      </w:r>
      <w:r w:rsidRPr="00F20C78">
        <w:rPr>
          <w:sz w:val="24"/>
          <w:szCs w:val="24"/>
        </w:rPr>
        <w:tab/>
      </w:r>
      <w:r w:rsidRPr="00F20C78">
        <w:rPr>
          <w:sz w:val="24"/>
          <w:szCs w:val="24"/>
        </w:rPr>
        <w:tab/>
      </w:r>
      <w:r w:rsidRPr="00F20C78">
        <w:rPr>
          <w:sz w:val="24"/>
          <w:szCs w:val="24"/>
        </w:rPr>
        <w:tab/>
      </w:r>
      <w:r w:rsidRPr="00F20C78">
        <w:rPr>
          <w:sz w:val="24"/>
          <w:szCs w:val="24"/>
        </w:rPr>
        <w:tab/>
      </w:r>
      <w:r w:rsidRPr="00F20C78">
        <w:rPr>
          <w:sz w:val="24"/>
          <w:szCs w:val="24"/>
        </w:rPr>
        <w:tab/>
      </w:r>
      <w:r w:rsidR="00652BFB">
        <w:rPr>
          <w:sz w:val="24"/>
          <w:szCs w:val="24"/>
        </w:rPr>
        <w:tab/>
      </w:r>
      <w:r w:rsidRPr="00F20C78">
        <w:rPr>
          <w:sz w:val="24"/>
          <w:szCs w:val="24"/>
        </w:rPr>
        <w:t>1.3</w:t>
      </w:r>
    </w:p>
    <w:p w14:paraId="7066FB1A" w14:textId="77777777" w:rsidR="00F20C78" w:rsidRPr="00F20C78" w:rsidRDefault="00F20C78" w:rsidP="00F20C78">
      <w:pPr>
        <w:widowControl/>
        <w:adjustRightInd w:val="0"/>
        <w:jc w:val="both"/>
        <w:rPr>
          <w:sz w:val="24"/>
          <w:szCs w:val="24"/>
        </w:rPr>
      </w:pPr>
    </w:p>
    <w:p w14:paraId="39BC06A3" w14:textId="77777777" w:rsidR="00F20C78" w:rsidRPr="00F20C78" w:rsidRDefault="00F20C78" w:rsidP="00F20C78">
      <w:pPr>
        <w:widowControl/>
        <w:adjustRightInd w:val="0"/>
        <w:ind w:firstLine="720"/>
        <w:jc w:val="both"/>
        <w:rPr>
          <w:sz w:val="24"/>
          <w:szCs w:val="24"/>
        </w:rPr>
      </w:pPr>
      <w:r w:rsidRPr="00F20C78">
        <w:rPr>
          <w:sz w:val="24"/>
          <w:szCs w:val="24"/>
        </w:rPr>
        <w:t>The foregoing adjustment factors shall be applied cumulatively. For example, a lot having frontage on an unpaved Town street that lacks proper drainage must have a minimum lot size that is (1.3 x 1.3 =) 1.69 times greater than the minimum lot size shown in Table 4.04A.</w:t>
      </w:r>
    </w:p>
    <w:p w14:paraId="7D576E28" w14:textId="77777777" w:rsidR="00F20C78" w:rsidRPr="00F20C78" w:rsidRDefault="00F20C78" w:rsidP="00F20C78">
      <w:pPr>
        <w:widowControl/>
        <w:adjustRightInd w:val="0"/>
        <w:ind w:firstLine="720"/>
        <w:jc w:val="both"/>
        <w:rPr>
          <w:sz w:val="24"/>
          <w:szCs w:val="24"/>
        </w:rPr>
      </w:pPr>
    </w:p>
    <w:p w14:paraId="1E29F7A8" w14:textId="77777777" w:rsidR="00F20C78" w:rsidRPr="00F20C78" w:rsidRDefault="00F20C78" w:rsidP="00F20C78">
      <w:pPr>
        <w:pStyle w:val="ListParagraph"/>
        <w:widowControl/>
        <w:numPr>
          <w:ilvl w:val="0"/>
          <w:numId w:val="11"/>
        </w:numPr>
        <w:adjustRightInd w:val="0"/>
        <w:contextualSpacing/>
        <w:jc w:val="both"/>
        <w:rPr>
          <w:sz w:val="24"/>
          <w:szCs w:val="24"/>
        </w:rPr>
      </w:pPr>
      <w:r w:rsidRPr="00F20C78">
        <w:rPr>
          <w:sz w:val="24"/>
          <w:szCs w:val="24"/>
        </w:rPr>
        <w:t xml:space="preserve">Applicant’s Option to Improve Road:  An applicant for subdivision or development of property having frontage on a road that does not meet current Town standards for width, pavement, or drainage may, at his or her option, propose to improve that portion of the road abutting that property as a condition of subdivision or development approval.  Any proposal to improve an existing road must be presented to the Public Works Director for review and possible approval prior to the filing of the subdivision or development application.  Upon the approval of the Public Works Director of any such proposal for improvement to the portion of the </w:t>
      </w:r>
      <w:r w:rsidRPr="00F20C78">
        <w:rPr>
          <w:sz w:val="24"/>
          <w:szCs w:val="24"/>
        </w:rPr>
        <w:lastRenderedPageBreak/>
        <w:t xml:space="preserve">road abutting the property to be subdivided or developed, the applicant shall be entitled to propose minimum lot sizes as though the road were already improved.  To the extent permitted by the Connecticut General Statutes and the Town subdivision regulations, the Commission may require, as a condition of approval of any such subdivision or development, that a bond or other surety be provided to ensure that the road improvements are completed as proposed. </w:t>
      </w:r>
    </w:p>
    <w:p w14:paraId="4B0EBD13" w14:textId="77777777" w:rsidR="00F20C78" w:rsidRPr="00F20C78" w:rsidRDefault="00F20C78" w:rsidP="00F20C78">
      <w:pPr>
        <w:widowControl/>
        <w:adjustRightInd w:val="0"/>
        <w:jc w:val="both"/>
        <w:rPr>
          <w:sz w:val="24"/>
          <w:szCs w:val="24"/>
        </w:rPr>
      </w:pPr>
    </w:p>
    <w:p w14:paraId="0F7861F7" w14:textId="77777777" w:rsidR="00F20C78" w:rsidRPr="00F20C78" w:rsidRDefault="00F20C78" w:rsidP="00F20C78">
      <w:pPr>
        <w:pStyle w:val="ListParagraph"/>
        <w:widowControl/>
        <w:numPr>
          <w:ilvl w:val="0"/>
          <w:numId w:val="11"/>
        </w:numPr>
        <w:adjustRightInd w:val="0"/>
        <w:contextualSpacing/>
        <w:jc w:val="both"/>
        <w:rPr>
          <w:sz w:val="24"/>
          <w:szCs w:val="24"/>
        </w:rPr>
      </w:pPr>
      <w:r w:rsidRPr="00F20C78">
        <w:rPr>
          <w:sz w:val="24"/>
          <w:szCs w:val="24"/>
        </w:rPr>
        <w:t xml:space="preserve">Increased Lot Size for </w:t>
      </w:r>
      <w:r w:rsidRPr="008D37BF">
        <w:rPr>
          <w:strike/>
          <w:sz w:val="24"/>
          <w:szCs w:val="24"/>
          <w:highlight w:val="yellow"/>
        </w:rPr>
        <w:t>Two-Family,</w:t>
      </w:r>
      <w:r w:rsidRPr="00F20C78">
        <w:rPr>
          <w:sz w:val="24"/>
          <w:szCs w:val="24"/>
        </w:rPr>
        <w:t xml:space="preserve"> Multi-Family and Farm Uses:  Lots used for </w:t>
      </w:r>
      <w:r w:rsidRPr="008D37BF">
        <w:rPr>
          <w:strike/>
          <w:sz w:val="24"/>
          <w:szCs w:val="24"/>
          <w:highlight w:val="yellow"/>
        </w:rPr>
        <w:t>two-family or</w:t>
      </w:r>
      <w:r w:rsidRPr="00F20C78">
        <w:rPr>
          <w:sz w:val="24"/>
          <w:szCs w:val="24"/>
        </w:rPr>
        <w:t xml:space="preserve"> multi-family dwellings in the GR and VR zones must have 1.5 times the minimum lot area otherwise required by these Regulations.  </w:t>
      </w:r>
      <w:r w:rsidRPr="005545FA">
        <w:rPr>
          <w:strike/>
          <w:sz w:val="24"/>
          <w:szCs w:val="24"/>
          <w:highlight w:val="yellow"/>
        </w:rPr>
        <w:t>Lots used for two-family dwellings in other zones must have twice the minimum lot area otherwise required by these Regulations.</w:t>
      </w:r>
      <w:r w:rsidRPr="00F20C78">
        <w:rPr>
          <w:sz w:val="24"/>
          <w:szCs w:val="24"/>
        </w:rPr>
        <w:t xml:space="preserve">  Lots used for farms in the C/A Zone must have twice the minimum lot area otherwise required by these Regulations.</w:t>
      </w:r>
    </w:p>
    <w:p w14:paraId="239A566C" w14:textId="77777777" w:rsidR="00F20C78" w:rsidRPr="00F20C78" w:rsidRDefault="00F20C78" w:rsidP="00EC4EC8">
      <w:pPr>
        <w:rPr>
          <w:rFonts w:asciiTheme="minorHAnsi" w:hAnsiTheme="minorHAnsi" w:cstheme="minorHAnsi"/>
          <w:b/>
          <w:spacing w:val="-2"/>
          <w:sz w:val="24"/>
          <w:szCs w:val="24"/>
          <w:u w:val="single"/>
        </w:rPr>
      </w:pPr>
    </w:p>
    <w:p w14:paraId="03C86E21" w14:textId="77777777" w:rsidR="005545FA" w:rsidRPr="005545FA" w:rsidRDefault="005545FA" w:rsidP="005545FA">
      <w:pPr>
        <w:rPr>
          <w:rFonts w:asciiTheme="minorHAnsi" w:hAnsiTheme="minorHAnsi" w:cstheme="minorHAnsi"/>
          <w:b/>
          <w:spacing w:val="-2"/>
          <w:sz w:val="24"/>
          <w:szCs w:val="24"/>
          <w:u w:val="single"/>
        </w:rPr>
      </w:pPr>
      <w:bookmarkStart w:id="11" w:name="_Toc323218363"/>
      <w:bookmarkStart w:id="12" w:name="_Toc323220433"/>
      <w:bookmarkStart w:id="13" w:name="_Toc327450299"/>
      <w:bookmarkStart w:id="14" w:name="_Toc328558736"/>
      <w:bookmarkStart w:id="15" w:name="_Toc156548927"/>
      <w:r w:rsidRPr="005545FA">
        <w:rPr>
          <w:rFonts w:asciiTheme="minorHAnsi" w:hAnsiTheme="minorHAnsi" w:cstheme="minorHAnsi"/>
          <w:b/>
          <w:spacing w:val="-2"/>
          <w:sz w:val="24"/>
          <w:szCs w:val="24"/>
          <w:u w:val="single"/>
        </w:rPr>
        <w:t>Table 4.04A.</w:t>
      </w:r>
      <w:r w:rsidRPr="005545FA">
        <w:rPr>
          <w:rFonts w:asciiTheme="minorHAnsi" w:hAnsiTheme="minorHAnsi" w:cstheme="minorHAnsi"/>
          <w:b/>
          <w:spacing w:val="-2"/>
          <w:sz w:val="24"/>
          <w:szCs w:val="24"/>
          <w:u w:val="single"/>
        </w:rPr>
        <w:tab/>
        <w:t>Dimensional Requirements</w:t>
      </w:r>
      <w:bookmarkEnd w:id="11"/>
      <w:bookmarkEnd w:id="12"/>
      <w:bookmarkEnd w:id="13"/>
      <w:bookmarkEnd w:id="14"/>
      <w:bookmarkEnd w:id="15"/>
    </w:p>
    <w:p w14:paraId="532A7ABF" w14:textId="77777777" w:rsidR="00F20C78" w:rsidRPr="00AA711B" w:rsidRDefault="00F20C78" w:rsidP="00EC4EC8">
      <w:pPr>
        <w:rPr>
          <w:rFonts w:asciiTheme="minorHAnsi" w:hAnsiTheme="minorHAnsi" w:cstheme="minorHAnsi"/>
          <w:b/>
          <w:spacing w:val="-2"/>
          <w:sz w:val="24"/>
          <w:szCs w:val="24"/>
          <w:u w:val="single"/>
        </w:rPr>
      </w:pPr>
    </w:p>
    <w:p w14:paraId="78F49A31" w14:textId="5004FC11" w:rsidR="00AA711B" w:rsidRPr="00AA711B" w:rsidRDefault="00AA711B" w:rsidP="00EC4EC8">
      <w:pPr>
        <w:rPr>
          <w:rFonts w:asciiTheme="minorHAnsi" w:hAnsiTheme="minorHAnsi" w:cstheme="minorHAnsi"/>
          <w:b/>
          <w:spacing w:val="-2"/>
          <w:sz w:val="24"/>
          <w:szCs w:val="24"/>
          <w:u w:val="single"/>
        </w:rPr>
      </w:pPr>
      <w:r w:rsidRPr="00AA711B">
        <w:rPr>
          <w:sz w:val="24"/>
          <w:szCs w:val="24"/>
        </w:rPr>
        <w:t>Min. Lot Area</w:t>
      </w:r>
      <w:r w:rsidRPr="00AA711B">
        <w:rPr>
          <w:sz w:val="24"/>
          <w:szCs w:val="24"/>
        </w:rPr>
        <w:t xml:space="preserve"> (square feet) </w:t>
      </w:r>
      <w:r w:rsidRPr="00AA711B">
        <w:rPr>
          <w:sz w:val="24"/>
          <w:szCs w:val="24"/>
          <w:vertAlign w:val="superscript"/>
        </w:rPr>
        <w:t>1</w:t>
      </w:r>
    </w:p>
    <w:p w14:paraId="063F6DB4" w14:textId="77777777" w:rsidR="005545FA" w:rsidRPr="00AA711B" w:rsidRDefault="005545FA" w:rsidP="00EC4EC8">
      <w:pPr>
        <w:rPr>
          <w:rFonts w:asciiTheme="minorHAnsi" w:hAnsiTheme="minorHAnsi" w:cstheme="minorHAnsi"/>
          <w:b/>
          <w:spacing w:val="-2"/>
          <w:sz w:val="24"/>
          <w:szCs w:val="24"/>
          <w:u w:val="single"/>
        </w:rPr>
      </w:pPr>
    </w:p>
    <w:p w14:paraId="2C65BEE5" w14:textId="78D6938F" w:rsidR="005545FA" w:rsidRPr="00AA711B" w:rsidRDefault="00AA711B" w:rsidP="005545FA">
      <w:pPr>
        <w:pStyle w:val="FootnoteText"/>
        <w:rPr>
          <w:rFonts w:asciiTheme="minorHAnsi" w:hAnsiTheme="minorHAnsi" w:cstheme="minorHAnsi"/>
          <w:sz w:val="24"/>
          <w:u w:val="none"/>
        </w:rPr>
      </w:pPr>
      <w:r>
        <w:rPr>
          <w:rFonts w:asciiTheme="minorHAnsi" w:hAnsiTheme="minorHAnsi" w:cstheme="minorHAnsi"/>
          <w:sz w:val="24"/>
          <w:u w:val="none"/>
        </w:rPr>
        <w:t xml:space="preserve">Footnote </w:t>
      </w:r>
      <w:r w:rsidR="005545FA" w:rsidRPr="00AA711B">
        <w:rPr>
          <w:rStyle w:val="FootnoteReference"/>
          <w:rFonts w:asciiTheme="minorHAnsi" w:hAnsiTheme="minorHAnsi" w:cstheme="minorHAnsi"/>
          <w:sz w:val="24"/>
          <w:u w:val="none"/>
        </w:rPr>
        <w:footnoteRef/>
      </w:r>
      <w:r w:rsidR="005545FA" w:rsidRPr="00AA711B">
        <w:rPr>
          <w:rFonts w:asciiTheme="minorHAnsi" w:hAnsiTheme="minorHAnsi" w:cstheme="minorHAnsi"/>
          <w:sz w:val="24"/>
          <w:u w:val="none"/>
        </w:rPr>
        <w:t xml:space="preserve"> </w:t>
      </w:r>
      <w:r w:rsidR="005545FA" w:rsidRPr="00AA711B">
        <w:rPr>
          <w:rFonts w:asciiTheme="minorHAnsi" w:hAnsiTheme="minorHAnsi" w:cstheme="minorHAnsi"/>
          <w:sz w:val="24"/>
          <w:u w:val="none"/>
        </w:rPr>
        <w:tab/>
        <w:t>Minimum lot areas shown in</w:t>
      </w:r>
      <w:r w:rsidR="005545FA" w:rsidRPr="00AA711B">
        <w:rPr>
          <w:rFonts w:asciiTheme="minorHAnsi" w:hAnsiTheme="minorHAnsi" w:cstheme="minorHAnsi"/>
          <w:sz w:val="24"/>
        </w:rPr>
        <w:t xml:space="preserve"> </w:t>
      </w:r>
      <w:r w:rsidR="005545FA" w:rsidRPr="00AA711B">
        <w:rPr>
          <w:rFonts w:asciiTheme="minorHAnsi" w:hAnsiTheme="minorHAnsi" w:cstheme="minorHAnsi"/>
          <w:sz w:val="24"/>
          <w:u w:val="none"/>
        </w:rPr>
        <w:t xml:space="preserve">this table must be increased in accordance with Section 4.04.03 for lots that do not have frontage on a road meeting current Town standards.  In addition, lots used for </w:t>
      </w:r>
      <w:r w:rsidR="005545FA" w:rsidRPr="00AA711B">
        <w:rPr>
          <w:rFonts w:asciiTheme="minorHAnsi" w:hAnsiTheme="minorHAnsi" w:cstheme="minorHAnsi"/>
          <w:strike/>
          <w:sz w:val="24"/>
          <w:highlight w:val="yellow"/>
          <w:u w:val="none"/>
        </w:rPr>
        <w:t>two-family or</w:t>
      </w:r>
      <w:r w:rsidR="005545FA" w:rsidRPr="00AA711B">
        <w:rPr>
          <w:rFonts w:asciiTheme="minorHAnsi" w:hAnsiTheme="minorHAnsi" w:cstheme="minorHAnsi"/>
          <w:sz w:val="24"/>
          <w:u w:val="none"/>
        </w:rPr>
        <w:t xml:space="preserve"> multi-family dwellings in the GR and VR zones must have 1.5 times the minimum lot area shown above</w:t>
      </w:r>
      <w:r w:rsidR="005545FA" w:rsidRPr="00AA711B">
        <w:rPr>
          <w:rFonts w:asciiTheme="minorHAnsi" w:hAnsiTheme="minorHAnsi" w:cstheme="minorHAnsi"/>
          <w:strike/>
          <w:sz w:val="24"/>
          <w:highlight w:val="yellow"/>
          <w:u w:val="none"/>
        </w:rPr>
        <w:t>, and lots used for two-family dwellings in other zones must have twice the minimum lot area shown above</w:t>
      </w:r>
      <w:r w:rsidR="005545FA" w:rsidRPr="00AA711B">
        <w:rPr>
          <w:rFonts w:asciiTheme="minorHAnsi" w:hAnsiTheme="minorHAnsi" w:cstheme="minorHAnsi"/>
          <w:sz w:val="24"/>
          <w:u w:val="none"/>
        </w:rPr>
        <w:t>.  Lots used for farms in the C/A Zone must have twice the minimum lot area shown above.</w:t>
      </w:r>
      <w:r w:rsidR="005545FA" w:rsidRPr="00AA711B">
        <w:rPr>
          <w:rFonts w:asciiTheme="minorHAnsi" w:hAnsiTheme="minorHAnsi" w:cstheme="minorHAnsi"/>
          <w:sz w:val="24"/>
          <w:u w:val="none"/>
        </w:rPr>
        <w:tab/>
      </w:r>
    </w:p>
    <w:p w14:paraId="10D2E32D" w14:textId="77777777" w:rsidR="005545FA" w:rsidRPr="00AA711B" w:rsidRDefault="005545FA" w:rsidP="00EC4EC8">
      <w:pPr>
        <w:rPr>
          <w:rFonts w:asciiTheme="minorHAnsi" w:hAnsiTheme="minorHAnsi" w:cstheme="minorHAnsi"/>
          <w:b/>
          <w:spacing w:val="-2"/>
          <w:sz w:val="24"/>
          <w:szCs w:val="24"/>
          <w:u w:val="single"/>
        </w:rPr>
      </w:pPr>
    </w:p>
    <w:p w14:paraId="295EF7E6" w14:textId="77777777" w:rsidR="005545FA" w:rsidRPr="00F20C78" w:rsidRDefault="005545FA" w:rsidP="00EC4EC8">
      <w:pPr>
        <w:rPr>
          <w:rFonts w:asciiTheme="minorHAnsi" w:hAnsiTheme="minorHAnsi" w:cstheme="minorHAnsi"/>
          <w:b/>
          <w:spacing w:val="-2"/>
          <w:sz w:val="24"/>
          <w:szCs w:val="24"/>
          <w:u w:val="single"/>
        </w:rPr>
      </w:pPr>
    </w:p>
    <w:p w14:paraId="79D77FEA" w14:textId="77777777" w:rsidR="00F20C78" w:rsidRPr="00F20C78" w:rsidRDefault="00F20C78" w:rsidP="00F20C78">
      <w:pPr>
        <w:rPr>
          <w:rFonts w:asciiTheme="minorHAnsi" w:hAnsiTheme="minorHAnsi" w:cstheme="minorHAnsi"/>
          <w:b/>
          <w:spacing w:val="-2"/>
          <w:sz w:val="24"/>
          <w:szCs w:val="24"/>
          <w:u w:val="single"/>
        </w:rPr>
      </w:pPr>
      <w:bookmarkStart w:id="16" w:name="_Toc323218506"/>
      <w:bookmarkStart w:id="17" w:name="_Toc323220576"/>
      <w:bookmarkStart w:id="18" w:name="_Toc327450442"/>
      <w:bookmarkStart w:id="19" w:name="_Toc328558878"/>
      <w:bookmarkStart w:id="20" w:name="_Toc156549084"/>
      <w:r w:rsidRPr="00F20C78">
        <w:rPr>
          <w:rFonts w:asciiTheme="minorHAnsi" w:hAnsiTheme="minorHAnsi" w:cstheme="minorHAnsi"/>
          <w:b/>
          <w:spacing w:val="-2"/>
          <w:sz w:val="24"/>
          <w:szCs w:val="24"/>
          <w:u w:val="single"/>
        </w:rPr>
        <w:t>Section 6.03</w:t>
      </w:r>
      <w:r w:rsidRPr="00F20C78">
        <w:rPr>
          <w:rFonts w:asciiTheme="minorHAnsi" w:hAnsiTheme="minorHAnsi" w:cstheme="minorHAnsi"/>
          <w:b/>
          <w:spacing w:val="-2"/>
          <w:sz w:val="24"/>
          <w:szCs w:val="24"/>
          <w:u w:val="single"/>
        </w:rPr>
        <w:tab/>
        <w:t>General Residential (GR-40 and GR-80) Zones</w:t>
      </w:r>
      <w:bookmarkEnd w:id="16"/>
      <w:bookmarkEnd w:id="17"/>
      <w:bookmarkEnd w:id="18"/>
      <w:bookmarkEnd w:id="19"/>
      <w:bookmarkEnd w:id="20"/>
    </w:p>
    <w:p w14:paraId="748266F2" w14:textId="77777777" w:rsidR="00F20C78" w:rsidRDefault="00F20C78" w:rsidP="00F20C78">
      <w:pPr>
        <w:pStyle w:val="Default"/>
        <w:rPr>
          <w:rFonts w:asciiTheme="minorHAnsi" w:hAnsiTheme="minorHAnsi" w:cstheme="minorHAnsi"/>
          <w:b/>
          <w:bCs/>
        </w:rPr>
      </w:pPr>
      <w:bookmarkStart w:id="21" w:name="_Toc323218507"/>
      <w:bookmarkStart w:id="22" w:name="_Toc323220577"/>
      <w:bookmarkStart w:id="23" w:name="_Toc327450443"/>
      <w:bookmarkStart w:id="24" w:name="_Toc328558879"/>
      <w:bookmarkStart w:id="25" w:name="_Toc156549085"/>
    </w:p>
    <w:p w14:paraId="6D37D063" w14:textId="6BDF6714" w:rsidR="00F20C78" w:rsidRPr="00F20C78" w:rsidRDefault="00F20C78" w:rsidP="00F20C78">
      <w:pPr>
        <w:pStyle w:val="Default"/>
        <w:rPr>
          <w:rFonts w:asciiTheme="minorHAnsi" w:hAnsiTheme="minorHAnsi" w:cstheme="minorHAnsi"/>
          <w:b/>
          <w:bCs/>
        </w:rPr>
      </w:pPr>
      <w:r w:rsidRPr="00F20C78">
        <w:rPr>
          <w:rFonts w:asciiTheme="minorHAnsi" w:hAnsiTheme="minorHAnsi" w:cstheme="minorHAnsi"/>
          <w:b/>
          <w:bCs/>
        </w:rPr>
        <w:t>Section 6.03.01</w:t>
      </w:r>
      <w:r w:rsidRPr="00F20C78">
        <w:rPr>
          <w:rFonts w:asciiTheme="minorHAnsi" w:hAnsiTheme="minorHAnsi" w:cstheme="minorHAnsi"/>
          <w:b/>
          <w:bCs/>
        </w:rPr>
        <w:tab/>
        <w:t>Generally Permitted Uses</w:t>
      </w:r>
      <w:bookmarkEnd w:id="21"/>
      <w:bookmarkEnd w:id="22"/>
      <w:bookmarkEnd w:id="23"/>
      <w:bookmarkEnd w:id="24"/>
      <w:bookmarkEnd w:id="25"/>
    </w:p>
    <w:p w14:paraId="11424D98" w14:textId="77777777" w:rsidR="00F20C78" w:rsidRPr="00F20C78" w:rsidRDefault="00F20C78" w:rsidP="00F20C78">
      <w:pPr>
        <w:pStyle w:val="Default"/>
        <w:rPr>
          <w:rFonts w:asciiTheme="minorHAnsi" w:hAnsiTheme="minorHAnsi" w:cstheme="minorHAnsi"/>
          <w:b/>
          <w:bCs/>
        </w:rPr>
      </w:pPr>
    </w:p>
    <w:p w14:paraId="37A77BCA" w14:textId="77777777" w:rsidR="00F20C78" w:rsidRPr="00F20C78" w:rsidRDefault="00F20C78" w:rsidP="00F20C78">
      <w:pPr>
        <w:widowControl/>
        <w:adjustRightInd w:val="0"/>
        <w:jc w:val="both"/>
        <w:rPr>
          <w:sz w:val="24"/>
          <w:szCs w:val="24"/>
        </w:rPr>
      </w:pPr>
      <w:r w:rsidRPr="00F20C78">
        <w:rPr>
          <w:sz w:val="24"/>
          <w:szCs w:val="24"/>
        </w:rPr>
        <w:tab/>
        <w:t>a.</w:t>
      </w:r>
      <w:r w:rsidRPr="00F20C78">
        <w:rPr>
          <w:sz w:val="24"/>
          <w:szCs w:val="24"/>
        </w:rPr>
        <w:tab/>
        <w:t>Uses Not Requiring Site Plan Review by the Commission</w:t>
      </w:r>
    </w:p>
    <w:p w14:paraId="2F44B75F" w14:textId="77777777" w:rsidR="00F20C78" w:rsidRPr="00F20C78" w:rsidRDefault="00F20C78" w:rsidP="00F20C78">
      <w:pPr>
        <w:widowControl/>
        <w:adjustRightInd w:val="0"/>
        <w:jc w:val="both"/>
        <w:rPr>
          <w:sz w:val="24"/>
          <w:szCs w:val="24"/>
        </w:rPr>
      </w:pPr>
    </w:p>
    <w:p w14:paraId="7A3B79D2" w14:textId="77777777" w:rsidR="00F20C78" w:rsidRPr="00F20C78" w:rsidRDefault="00F20C78" w:rsidP="00F20C78">
      <w:pPr>
        <w:widowControl/>
        <w:adjustRightInd w:val="0"/>
        <w:ind w:firstLine="720"/>
        <w:jc w:val="both"/>
        <w:rPr>
          <w:sz w:val="24"/>
          <w:szCs w:val="24"/>
        </w:rPr>
      </w:pPr>
      <w:r w:rsidRPr="00F20C78">
        <w:rPr>
          <w:sz w:val="24"/>
          <w:szCs w:val="24"/>
        </w:rPr>
        <w:t xml:space="preserve">The following uses are permitted in the General Residential Zones upon the issuance of a zoning permit by the Zoning Agent:  </w:t>
      </w:r>
    </w:p>
    <w:p w14:paraId="56BD63F9" w14:textId="77777777" w:rsidR="00F20C78" w:rsidRPr="00F20C78" w:rsidRDefault="00F20C78" w:rsidP="00F20C78">
      <w:pPr>
        <w:widowControl/>
        <w:adjustRightInd w:val="0"/>
        <w:jc w:val="both"/>
        <w:rPr>
          <w:sz w:val="24"/>
          <w:szCs w:val="24"/>
        </w:rPr>
      </w:pPr>
    </w:p>
    <w:p w14:paraId="3AB13CDF" w14:textId="77777777" w:rsidR="00F20C78" w:rsidRPr="00F20C78" w:rsidRDefault="00F20C78" w:rsidP="00F20C78">
      <w:pPr>
        <w:widowControl/>
        <w:adjustRightInd w:val="0"/>
        <w:jc w:val="both"/>
        <w:rPr>
          <w:sz w:val="24"/>
          <w:szCs w:val="24"/>
        </w:rPr>
      </w:pPr>
      <w:r w:rsidRPr="00F20C78">
        <w:rPr>
          <w:sz w:val="24"/>
          <w:szCs w:val="24"/>
        </w:rPr>
        <w:tab/>
      </w:r>
      <w:r w:rsidRPr="00F20C78">
        <w:rPr>
          <w:sz w:val="24"/>
          <w:szCs w:val="24"/>
        </w:rPr>
        <w:tab/>
        <w:t>1.</w:t>
      </w:r>
      <w:r w:rsidRPr="00F20C78">
        <w:rPr>
          <w:sz w:val="24"/>
          <w:szCs w:val="24"/>
        </w:rPr>
        <w:tab/>
        <w:t>Single-family dwellings.</w:t>
      </w:r>
    </w:p>
    <w:p w14:paraId="09690550" w14:textId="77777777" w:rsidR="00F20C78" w:rsidRPr="00F20C78" w:rsidRDefault="00F20C78" w:rsidP="00F20C78">
      <w:pPr>
        <w:widowControl/>
        <w:adjustRightInd w:val="0"/>
        <w:jc w:val="both"/>
        <w:rPr>
          <w:sz w:val="24"/>
          <w:szCs w:val="24"/>
        </w:rPr>
      </w:pPr>
      <w:r w:rsidRPr="00F20C78">
        <w:rPr>
          <w:sz w:val="24"/>
          <w:szCs w:val="24"/>
        </w:rPr>
        <w:tab/>
      </w:r>
      <w:r w:rsidRPr="00F20C78">
        <w:rPr>
          <w:sz w:val="24"/>
          <w:szCs w:val="24"/>
        </w:rPr>
        <w:tab/>
        <w:t>2.</w:t>
      </w:r>
      <w:r w:rsidRPr="00F20C78">
        <w:rPr>
          <w:sz w:val="24"/>
          <w:szCs w:val="24"/>
        </w:rPr>
        <w:tab/>
        <w:t>Two-family dwellings</w:t>
      </w:r>
      <w:r w:rsidRPr="00F20C78">
        <w:rPr>
          <w:strike/>
          <w:sz w:val="24"/>
          <w:szCs w:val="24"/>
          <w:highlight w:val="yellow"/>
        </w:rPr>
        <w:t>, subject to the increased lot-size requirements of Section 4.04.03 and Table 4.04 of these Regulations</w:t>
      </w:r>
      <w:r w:rsidRPr="00F20C78">
        <w:rPr>
          <w:sz w:val="24"/>
          <w:szCs w:val="24"/>
        </w:rPr>
        <w:t>.</w:t>
      </w:r>
    </w:p>
    <w:p w14:paraId="1CFD8CB4" w14:textId="77777777" w:rsidR="00F20C78" w:rsidRPr="00A33A9C" w:rsidRDefault="00F20C78" w:rsidP="00F20C78">
      <w:pPr>
        <w:widowControl/>
        <w:adjustRightInd w:val="0"/>
        <w:jc w:val="both"/>
      </w:pPr>
    </w:p>
    <w:p w14:paraId="6C15C3BC" w14:textId="0D241D09" w:rsidR="008D37BF" w:rsidRPr="008D37BF" w:rsidRDefault="008D37BF" w:rsidP="008D37BF">
      <w:pPr>
        <w:rPr>
          <w:rFonts w:asciiTheme="minorHAnsi" w:hAnsiTheme="minorHAnsi" w:cstheme="minorHAnsi"/>
          <w:b/>
          <w:spacing w:val="-2"/>
          <w:sz w:val="24"/>
          <w:szCs w:val="24"/>
          <w:u w:val="single"/>
        </w:rPr>
      </w:pPr>
      <w:bookmarkStart w:id="26" w:name="_Toc323218527"/>
      <w:bookmarkStart w:id="27" w:name="_Toc323220597"/>
      <w:bookmarkStart w:id="28" w:name="_Toc327450463"/>
      <w:bookmarkStart w:id="29" w:name="_Toc328558899"/>
      <w:bookmarkStart w:id="30" w:name="_Toc156549105"/>
      <w:r w:rsidRPr="008D37BF">
        <w:rPr>
          <w:rFonts w:asciiTheme="minorHAnsi" w:hAnsiTheme="minorHAnsi" w:cstheme="minorHAnsi"/>
          <w:b/>
          <w:spacing w:val="-2"/>
          <w:sz w:val="24"/>
          <w:szCs w:val="24"/>
          <w:u w:val="single"/>
        </w:rPr>
        <w:t>Section 6.09</w:t>
      </w:r>
      <w:r w:rsidRPr="008D37BF">
        <w:rPr>
          <w:rFonts w:asciiTheme="minorHAnsi" w:hAnsiTheme="minorHAnsi" w:cstheme="minorHAnsi"/>
          <w:b/>
          <w:spacing w:val="-2"/>
          <w:sz w:val="24"/>
          <w:szCs w:val="24"/>
          <w:u w:val="single"/>
        </w:rPr>
        <w:tab/>
        <w:t>Village Residence Zone</w:t>
      </w:r>
      <w:bookmarkEnd w:id="26"/>
      <w:bookmarkEnd w:id="27"/>
      <w:bookmarkEnd w:id="28"/>
      <w:bookmarkEnd w:id="29"/>
      <w:bookmarkEnd w:id="30"/>
    </w:p>
    <w:p w14:paraId="1A02F09F" w14:textId="77777777" w:rsidR="008D37BF" w:rsidRPr="00A33A9C" w:rsidRDefault="008D37BF" w:rsidP="008D37BF">
      <w:pPr>
        <w:widowControl/>
        <w:adjustRightInd w:val="0"/>
      </w:pPr>
    </w:p>
    <w:p w14:paraId="7DD5B7D5" w14:textId="77777777" w:rsidR="008D37BF" w:rsidRPr="008D37BF" w:rsidRDefault="008D37BF" w:rsidP="008D37BF">
      <w:pPr>
        <w:pStyle w:val="Default"/>
        <w:rPr>
          <w:rFonts w:asciiTheme="minorHAnsi" w:hAnsiTheme="minorHAnsi" w:cstheme="minorHAnsi"/>
          <w:b/>
          <w:bCs/>
        </w:rPr>
      </w:pPr>
      <w:bookmarkStart w:id="31" w:name="_Toc323218528"/>
      <w:bookmarkStart w:id="32" w:name="_Toc323220598"/>
      <w:bookmarkStart w:id="33" w:name="_Toc327450464"/>
      <w:bookmarkStart w:id="34" w:name="_Toc328558900"/>
      <w:bookmarkStart w:id="35" w:name="_Toc156549106"/>
      <w:r w:rsidRPr="008D37BF">
        <w:rPr>
          <w:rFonts w:asciiTheme="minorHAnsi" w:hAnsiTheme="minorHAnsi" w:cstheme="minorHAnsi"/>
          <w:b/>
          <w:bCs/>
        </w:rPr>
        <w:t>Section 6.09.01</w:t>
      </w:r>
      <w:r w:rsidRPr="008D37BF">
        <w:rPr>
          <w:rFonts w:asciiTheme="minorHAnsi" w:hAnsiTheme="minorHAnsi" w:cstheme="minorHAnsi"/>
          <w:b/>
          <w:bCs/>
        </w:rPr>
        <w:tab/>
        <w:t>Generally Permitted Uses</w:t>
      </w:r>
      <w:bookmarkEnd w:id="31"/>
      <w:bookmarkEnd w:id="32"/>
      <w:bookmarkEnd w:id="33"/>
      <w:bookmarkEnd w:id="34"/>
      <w:bookmarkEnd w:id="35"/>
    </w:p>
    <w:p w14:paraId="0AFA6FCD" w14:textId="77777777" w:rsidR="008D37BF" w:rsidRPr="00A33A9C" w:rsidRDefault="008D37BF" w:rsidP="008D37BF">
      <w:pPr>
        <w:widowControl/>
        <w:adjustRightInd w:val="0"/>
      </w:pPr>
    </w:p>
    <w:p w14:paraId="449FC40B" w14:textId="77777777" w:rsidR="008D37BF" w:rsidRPr="008D37BF" w:rsidRDefault="008D37BF" w:rsidP="008D37BF">
      <w:pPr>
        <w:widowControl/>
        <w:adjustRightInd w:val="0"/>
        <w:ind w:firstLine="720"/>
        <w:rPr>
          <w:sz w:val="24"/>
          <w:szCs w:val="24"/>
        </w:rPr>
      </w:pPr>
      <w:r w:rsidRPr="008D37BF">
        <w:rPr>
          <w:sz w:val="24"/>
          <w:szCs w:val="24"/>
        </w:rPr>
        <w:t>a.</w:t>
      </w:r>
      <w:r w:rsidRPr="008D37BF">
        <w:rPr>
          <w:sz w:val="24"/>
          <w:szCs w:val="24"/>
        </w:rPr>
        <w:tab/>
        <w:t>Uses Not Requiring Site Plan Review by the Commission</w:t>
      </w:r>
    </w:p>
    <w:p w14:paraId="4030B928" w14:textId="77777777" w:rsidR="008D37BF" w:rsidRPr="008D37BF" w:rsidRDefault="008D37BF" w:rsidP="008D37BF">
      <w:pPr>
        <w:widowControl/>
        <w:adjustRightInd w:val="0"/>
        <w:ind w:firstLine="720"/>
        <w:rPr>
          <w:sz w:val="24"/>
          <w:szCs w:val="24"/>
        </w:rPr>
      </w:pPr>
    </w:p>
    <w:p w14:paraId="283C013C" w14:textId="77777777" w:rsidR="008D37BF" w:rsidRPr="008D37BF" w:rsidRDefault="008D37BF" w:rsidP="008D37BF">
      <w:pPr>
        <w:widowControl/>
        <w:adjustRightInd w:val="0"/>
        <w:ind w:firstLine="720"/>
        <w:jc w:val="both"/>
        <w:rPr>
          <w:sz w:val="24"/>
          <w:szCs w:val="24"/>
        </w:rPr>
      </w:pPr>
      <w:r w:rsidRPr="008D37BF">
        <w:rPr>
          <w:sz w:val="24"/>
          <w:szCs w:val="24"/>
        </w:rPr>
        <w:t>The following uses are permitted in the Village Residence Zone upon the issuance of a zoning permit by the Zoning Agent:</w:t>
      </w:r>
    </w:p>
    <w:p w14:paraId="21081C23" w14:textId="77777777" w:rsidR="008D37BF" w:rsidRPr="008D37BF" w:rsidRDefault="008D37BF" w:rsidP="008D37BF">
      <w:pPr>
        <w:widowControl/>
        <w:adjustRightInd w:val="0"/>
        <w:jc w:val="both"/>
        <w:rPr>
          <w:sz w:val="24"/>
          <w:szCs w:val="24"/>
        </w:rPr>
      </w:pPr>
    </w:p>
    <w:p w14:paraId="4F2C2D2D" w14:textId="441E8645" w:rsidR="008D37BF" w:rsidRPr="008D37BF" w:rsidRDefault="008D37BF" w:rsidP="008D37BF">
      <w:pPr>
        <w:widowControl/>
        <w:adjustRightInd w:val="0"/>
        <w:rPr>
          <w:sz w:val="24"/>
          <w:szCs w:val="24"/>
        </w:rPr>
      </w:pPr>
      <w:r w:rsidRPr="008D37BF">
        <w:rPr>
          <w:sz w:val="24"/>
          <w:szCs w:val="24"/>
        </w:rPr>
        <w:tab/>
      </w:r>
      <w:r w:rsidRPr="008D37BF">
        <w:rPr>
          <w:sz w:val="24"/>
          <w:szCs w:val="24"/>
        </w:rPr>
        <w:tab/>
        <w:t>1.</w:t>
      </w:r>
      <w:r w:rsidRPr="008D37BF">
        <w:rPr>
          <w:sz w:val="24"/>
          <w:szCs w:val="24"/>
        </w:rPr>
        <w:tab/>
        <w:t xml:space="preserve">Single family </w:t>
      </w:r>
      <w:r w:rsidRPr="008D37BF">
        <w:rPr>
          <w:b/>
          <w:bCs/>
          <w:sz w:val="24"/>
          <w:szCs w:val="24"/>
          <w:highlight w:val="yellow"/>
        </w:rPr>
        <w:t>or two family</w:t>
      </w:r>
      <w:r>
        <w:rPr>
          <w:b/>
          <w:bCs/>
          <w:sz w:val="24"/>
          <w:szCs w:val="24"/>
        </w:rPr>
        <w:t xml:space="preserve"> </w:t>
      </w:r>
      <w:r w:rsidRPr="008D37BF">
        <w:rPr>
          <w:sz w:val="24"/>
          <w:szCs w:val="24"/>
        </w:rPr>
        <w:t>dwelling.</w:t>
      </w:r>
    </w:p>
    <w:p w14:paraId="6CCDF59B" w14:textId="77777777" w:rsidR="008D37BF" w:rsidRPr="008D37BF" w:rsidRDefault="008D37BF" w:rsidP="008D37BF">
      <w:pPr>
        <w:widowControl/>
        <w:adjustRightInd w:val="0"/>
        <w:rPr>
          <w:sz w:val="24"/>
          <w:szCs w:val="24"/>
        </w:rPr>
      </w:pPr>
    </w:p>
    <w:p w14:paraId="3454287B" w14:textId="77777777" w:rsidR="008D37BF" w:rsidRPr="008D37BF" w:rsidRDefault="008D37BF" w:rsidP="008D37BF">
      <w:pPr>
        <w:widowControl/>
        <w:adjustRightInd w:val="0"/>
        <w:rPr>
          <w:sz w:val="24"/>
          <w:szCs w:val="24"/>
        </w:rPr>
      </w:pPr>
      <w:r w:rsidRPr="008D37BF">
        <w:rPr>
          <w:sz w:val="24"/>
          <w:szCs w:val="24"/>
        </w:rPr>
        <w:tab/>
      </w:r>
      <w:r w:rsidRPr="008D37BF">
        <w:rPr>
          <w:sz w:val="24"/>
          <w:szCs w:val="24"/>
        </w:rPr>
        <w:tab/>
        <w:t>2.</w:t>
      </w:r>
      <w:r w:rsidRPr="008D37BF">
        <w:rPr>
          <w:sz w:val="24"/>
          <w:szCs w:val="24"/>
        </w:rPr>
        <w:tab/>
        <w:t>Multi-family dwelling – up to four units.</w:t>
      </w:r>
    </w:p>
    <w:p w14:paraId="1BA1C330" w14:textId="77777777" w:rsidR="008D37BF" w:rsidRPr="008D37BF" w:rsidRDefault="008D37BF" w:rsidP="008D37BF">
      <w:pPr>
        <w:widowControl/>
        <w:adjustRightInd w:val="0"/>
        <w:rPr>
          <w:sz w:val="24"/>
          <w:szCs w:val="24"/>
        </w:rPr>
      </w:pPr>
    </w:p>
    <w:p w14:paraId="27C9CD60" w14:textId="77777777" w:rsidR="008D37BF" w:rsidRPr="008D37BF" w:rsidRDefault="008D37BF" w:rsidP="008D37BF">
      <w:pPr>
        <w:widowControl/>
        <w:adjustRightInd w:val="0"/>
        <w:rPr>
          <w:sz w:val="24"/>
          <w:szCs w:val="24"/>
        </w:rPr>
      </w:pPr>
      <w:r w:rsidRPr="008D37BF">
        <w:rPr>
          <w:sz w:val="24"/>
          <w:szCs w:val="24"/>
        </w:rPr>
        <w:tab/>
      </w:r>
      <w:r w:rsidRPr="008D37BF">
        <w:rPr>
          <w:sz w:val="24"/>
          <w:szCs w:val="24"/>
        </w:rPr>
        <w:tab/>
        <w:t>3.</w:t>
      </w:r>
      <w:r w:rsidRPr="008D37BF">
        <w:rPr>
          <w:sz w:val="24"/>
          <w:szCs w:val="24"/>
        </w:rPr>
        <w:tab/>
        <w:t>Public parks and playgrounds.</w:t>
      </w:r>
    </w:p>
    <w:p w14:paraId="03D8938D" w14:textId="77777777" w:rsidR="008D37BF" w:rsidRPr="008D37BF" w:rsidRDefault="008D37BF" w:rsidP="008D37BF">
      <w:pPr>
        <w:widowControl/>
        <w:adjustRightInd w:val="0"/>
        <w:rPr>
          <w:sz w:val="24"/>
          <w:szCs w:val="24"/>
        </w:rPr>
      </w:pPr>
    </w:p>
    <w:p w14:paraId="26A13A20" w14:textId="77777777" w:rsidR="008D37BF" w:rsidRPr="008D37BF" w:rsidRDefault="008D37BF" w:rsidP="008D37BF">
      <w:pPr>
        <w:widowControl/>
        <w:adjustRightInd w:val="0"/>
        <w:rPr>
          <w:sz w:val="24"/>
          <w:szCs w:val="24"/>
        </w:rPr>
      </w:pPr>
      <w:r w:rsidRPr="008D37BF">
        <w:rPr>
          <w:sz w:val="24"/>
          <w:szCs w:val="24"/>
        </w:rPr>
        <w:tab/>
      </w:r>
      <w:r w:rsidRPr="008D37BF">
        <w:rPr>
          <w:sz w:val="24"/>
          <w:szCs w:val="24"/>
        </w:rPr>
        <w:tab/>
        <w:t>4.</w:t>
      </w:r>
      <w:r w:rsidRPr="008D37BF">
        <w:rPr>
          <w:sz w:val="24"/>
          <w:szCs w:val="24"/>
        </w:rPr>
        <w:tab/>
        <w:t>Governmental services.</w:t>
      </w:r>
    </w:p>
    <w:p w14:paraId="123FB66B" w14:textId="77777777" w:rsidR="008D37BF" w:rsidRPr="008D37BF" w:rsidRDefault="008D37BF" w:rsidP="008D37BF">
      <w:pPr>
        <w:widowControl/>
        <w:adjustRightInd w:val="0"/>
        <w:rPr>
          <w:sz w:val="24"/>
          <w:szCs w:val="24"/>
        </w:rPr>
      </w:pPr>
    </w:p>
    <w:p w14:paraId="3145E3B7" w14:textId="77777777" w:rsidR="008D37BF" w:rsidRDefault="008D37BF" w:rsidP="008D37BF">
      <w:pPr>
        <w:pStyle w:val="ListParagraph"/>
        <w:widowControl/>
        <w:numPr>
          <w:ilvl w:val="0"/>
          <w:numId w:val="12"/>
        </w:numPr>
        <w:adjustRightInd w:val="0"/>
        <w:contextualSpacing/>
        <w:rPr>
          <w:sz w:val="24"/>
          <w:szCs w:val="24"/>
        </w:rPr>
      </w:pPr>
      <w:r w:rsidRPr="008D37BF">
        <w:rPr>
          <w:sz w:val="24"/>
          <w:szCs w:val="24"/>
        </w:rPr>
        <w:t>Historic sites and monuments.</w:t>
      </w:r>
    </w:p>
    <w:p w14:paraId="5EA58930" w14:textId="2CA2917A" w:rsidR="008D37BF" w:rsidRPr="008D37BF" w:rsidRDefault="008D37BF" w:rsidP="008D37BF">
      <w:pPr>
        <w:pStyle w:val="ListParagraph"/>
        <w:widowControl/>
        <w:adjustRightInd w:val="0"/>
        <w:ind w:left="2160" w:firstLine="0"/>
        <w:contextualSpacing/>
        <w:rPr>
          <w:sz w:val="24"/>
          <w:szCs w:val="24"/>
        </w:rPr>
      </w:pPr>
    </w:p>
    <w:p w14:paraId="613DA9D6" w14:textId="77777777" w:rsidR="008D37BF" w:rsidRPr="008D37BF" w:rsidRDefault="008D37BF" w:rsidP="008D37BF">
      <w:pPr>
        <w:pStyle w:val="ListParagraph"/>
        <w:widowControl/>
        <w:numPr>
          <w:ilvl w:val="0"/>
          <w:numId w:val="12"/>
        </w:numPr>
        <w:adjustRightInd w:val="0"/>
        <w:contextualSpacing/>
        <w:rPr>
          <w:sz w:val="24"/>
          <w:szCs w:val="24"/>
        </w:rPr>
      </w:pPr>
      <w:r w:rsidRPr="008D37BF">
        <w:rPr>
          <w:sz w:val="24"/>
          <w:szCs w:val="24"/>
        </w:rPr>
        <w:t>Family Child Care Home or Group Child Care Home.</w:t>
      </w:r>
    </w:p>
    <w:p w14:paraId="5131AE9A" w14:textId="77777777" w:rsidR="00F20C78" w:rsidRDefault="00F20C78" w:rsidP="00EC4EC8">
      <w:pPr>
        <w:rPr>
          <w:rFonts w:asciiTheme="minorHAnsi" w:hAnsiTheme="minorHAnsi" w:cstheme="minorHAnsi"/>
          <w:b/>
          <w:spacing w:val="-2"/>
          <w:sz w:val="24"/>
          <w:szCs w:val="24"/>
          <w:u w:val="single"/>
        </w:rPr>
      </w:pPr>
    </w:p>
    <w:p w14:paraId="6BD117F1" w14:textId="77777777" w:rsidR="00652BFB" w:rsidRDefault="00652BFB" w:rsidP="00EC4EC8">
      <w:pPr>
        <w:rPr>
          <w:rFonts w:asciiTheme="minorHAnsi" w:hAnsiTheme="minorHAnsi" w:cstheme="minorHAnsi"/>
          <w:b/>
          <w:spacing w:val="-2"/>
          <w:sz w:val="24"/>
          <w:szCs w:val="24"/>
          <w:u w:val="single"/>
        </w:rPr>
      </w:pPr>
    </w:p>
    <w:p w14:paraId="72840C4E" w14:textId="77777777" w:rsidR="00652BFB" w:rsidRPr="008D37BF" w:rsidRDefault="00652BFB" w:rsidP="00EC4EC8">
      <w:pPr>
        <w:rPr>
          <w:rFonts w:asciiTheme="minorHAnsi" w:hAnsiTheme="minorHAnsi" w:cstheme="minorHAnsi"/>
          <w:b/>
          <w:spacing w:val="-2"/>
          <w:sz w:val="24"/>
          <w:szCs w:val="24"/>
          <w:u w:val="single"/>
        </w:rPr>
      </w:pPr>
    </w:p>
    <w:p w14:paraId="2439FB79" w14:textId="221DF313" w:rsidR="0086787E" w:rsidRPr="0086787E" w:rsidRDefault="0086787E" w:rsidP="0086787E">
      <w:pPr>
        <w:jc w:val="center"/>
        <w:rPr>
          <w:rFonts w:asciiTheme="minorHAnsi" w:hAnsiTheme="minorHAnsi" w:cstheme="minorHAnsi"/>
          <w:bCs/>
          <w:spacing w:val="-2"/>
          <w:sz w:val="24"/>
          <w:szCs w:val="24"/>
        </w:rPr>
      </w:pPr>
      <w:r w:rsidRPr="0086787E">
        <w:rPr>
          <w:rFonts w:asciiTheme="minorHAnsi" w:hAnsiTheme="minorHAnsi" w:cstheme="minorHAnsi"/>
          <w:bCs/>
          <w:spacing w:val="-2"/>
          <w:sz w:val="24"/>
          <w:szCs w:val="24"/>
        </w:rPr>
        <w:t>XXX</w:t>
      </w:r>
    </w:p>
    <w:bookmarkEnd w:id="0"/>
    <w:sectPr w:rsidR="0086787E" w:rsidRPr="0086787E" w:rsidSect="00286C45">
      <w:headerReference w:type="default" r:id="rId7"/>
      <w:headerReference w:type="first" r:id="rId8"/>
      <w:pgSz w:w="12240" w:h="15840"/>
      <w:pgMar w:top="1440" w:right="1440" w:bottom="1440" w:left="1440" w:header="72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98F13" w14:textId="77777777" w:rsidR="00AC1251" w:rsidRDefault="00AC1251">
      <w:r>
        <w:separator/>
      </w:r>
    </w:p>
  </w:endnote>
  <w:endnote w:type="continuationSeparator" w:id="0">
    <w:p w14:paraId="4127C985" w14:textId="77777777" w:rsidR="00AC1251" w:rsidRDefault="00AC1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03352" w14:textId="77777777" w:rsidR="00AC1251" w:rsidRDefault="00AC1251">
      <w:r>
        <w:separator/>
      </w:r>
    </w:p>
  </w:footnote>
  <w:footnote w:type="continuationSeparator" w:id="0">
    <w:p w14:paraId="00A6FBB9" w14:textId="77777777" w:rsidR="00AC1251" w:rsidRDefault="00AC1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FAF8D" w14:textId="1905DAC0" w:rsidR="00286C45" w:rsidRPr="00D52587" w:rsidRDefault="00286C45" w:rsidP="00286C45">
    <w:pPr>
      <w:pStyle w:val="Header"/>
      <w:jc w:val="center"/>
      <w:rPr>
        <w:sz w:val="28"/>
        <w:szCs w:val="28"/>
      </w:rPr>
    </w:pPr>
    <w:r w:rsidRPr="00D52587">
      <w:rPr>
        <w:sz w:val="28"/>
        <w:szCs w:val="28"/>
      </w:rPr>
      <w:t xml:space="preserve">Draft dated </w:t>
    </w:r>
    <w:r w:rsidR="00F20C78">
      <w:rPr>
        <w:sz w:val="28"/>
        <w:szCs w:val="28"/>
      </w:rPr>
      <w:t>5</w:t>
    </w:r>
    <w:r w:rsidRPr="00D52587">
      <w:rPr>
        <w:sz w:val="28"/>
        <w:szCs w:val="28"/>
      </w:rPr>
      <w:t>/</w:t>
    </w:r>
    <w:r w:rsidR="00F20C78">
      <w:rPr>
        <w:sz w:val="28"/>
        <w:szCs w:val="28"/>
      </w:rPr>
      <w:t>27</w:t>
    </w:r>
    <w:r w:rsidRPr="00D52587">
      <w:rPr>
        <w:sz w:val="28"/>
        <w:szCs w:val="28"/>
      </w:rPr>
      <w:t>/202</w:t>
    </w:r>
    <w:r w:rsidR="00F20C78">
      <w:rPr>
        <w:sz w:val="28"/>
        <w:szCs w:val="28"/>
      </w:rPr>
      <w:t>5</w:t>
    </w:r>
  </w:p>
  <w:p w14:paraId="105E8C7E" w14:textId="154EF481" w:rsidR="00286C45" w:rsidRDefault="00286C45" w:rsidP="00286C45">
    <w:pPr>
      <w:pStyle w:val="Header"/>
      <w:jc w:val="center"/>
      <w:rPr>
        <w:strike/>
        <w:sz w:val="28"/>
        <w:szCs w:val="28"/>
      </w:rPr>
    </w:pPr>
    <w:r w:rsidRPr="00D52587">
      <w:rPr>
        <w:b/>
        <w:bCs/>
        <w:sz w:val="28"/>
        <w:szCs w:val="28"/>
      </w:rPr>
      <w:t xml:space="preserve">Additions in </w:t>
    </w:r>
    <w:r>
      <w:rPr>
        <w:b/>
        <w:bCs/>
        <w:sz w:val="28"/>
        <w:szCs w:val="28"/>
      </w:rPr>
      <w:t>bold</w:t>
    </w:r>
    <w:r w:rsidRPr="00D52587">
      <w:rPr>
        <w:b/>
        <w:bCs/>
        <w:sz w:val="28"/>
        <w:szCs w:val="28"/>
      </w:rPr>
      <w:t>/</w:t>
    </w:r>
    <w:r w:rsidRPr="00D52587">
      <w:rPr>
        <w:strike/>
        <w:sz w:val="28"/>
        <w:szCs w:val="28"/>
      </w:rPr>
      <w:t>Deletions are struckthrough</w:t>
    </w:r>
    <w:r>
      <w:rPr>
        <w:strike/>
        <w:sz w:val="28"/>
        <w:szCs w:val="28"/>
      </w:rPr>
      <w:t>/</w:t>
    </w:r>
  </w:p>
  <w:p w14:paraId="43E96CF8" w14:textId="52FE7BD7" w:rsidR="00286C45" w:rsidRPr="00286C45" w:rsidRDefault="00286C45" w:rsidP="00286C45">
    <w:pPr>
      <w:pStyle w:val="Header"/>
      <w:jc w:val="center"/>
      <w:rPr>
        <w:sz w:val="28"/>
        <w:szCs w:val="28"/>
      </w:rPr>
    </w:pPr>
    <w:r w:rsidRPr="00286C45">
      <w:rPr>
        <w:sz w:val="28"/>
        <w:szCs w:val="28"/>
        <w:highlight w:val="yellow"/>
      </w:rPr>
      <w:t>All changes are highlighted</w:t>
    </w:r>
    <w:r>
      <w:rPr>
        <w:sz w:val="28"/>
        <w:szCs w:val="28"/>
      </w:rPr>
      <w:t xml:space="preserve"> </w:t>
    </w:r>
  </w:p>
  <w:p w14:paraId="0B8AE51C" w14:textId="498A918D" w:rsidR="00B9797C" w:rsidRPr="00286C45" w:rsidRDefault="00B9797C" w:rsidP="00286C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0E7F" w14:textId="19E78BB7" w:rsidR="00D52587" w:rsidRPr="00D52587" w:rsidRDefault="00D52587" w:rsidP="00D52587">
    <w:pPr>
      <w:pStyle w:val="Header"/>
      <w:jc w:val="center"/>
      <w:rPr>
        <w:sz w:val="28"/>
        <w:szCs w:val="28"/>
      </w:rPr>
    </w:pPr>
    <w:r w:rsidRPr="00D52587">
      <w:rPr>
        <w:sz w:val="28"/>
        <w:szCs w:val="28"/>
      </w:rPr>
      <w:t>Draft dated 12/11/2024</w:t>
    </w:r>
  </w:p>
  <w:p w14:paraId="6AD28E49" w14:textId="75A608A8" w:rsidR="00D52587" w:rsidRPr="00D52587" w:rsidRDefault="00D52587" w:rsidP="00D52587">
    <w:pPr>
      <w:pStyle w:val="Header"/>
      <w:jc w:val="center"/>
      <w:rPr>
        <w:strike/>
        <w:sz w:val="28"/>
        <w:szCs w:val="28"/>
      </w:rPr>
    </w:pPr>
    <w:r w:rsidRPr="00D52587">
      <w:rPr>
        <w:b/>
        <w:bCs/>
        <w:sz w:val="28"/>
        <w:szCs w:val="28"/>
      </w:rPr>
      <w:t>Additions in BOLD</w:t>
    </w:r>
    <w:r w:rsidR="00213DF4">
      <w:rPr>
        <w:b/>
        <w:bCs/>
        <w:sz w:val="28"/>
        <w:szCs w:val="28"/>
      </w:rPr>
      <w:t xml:space="preserve"> CAPS</w:t>
    </w:r>
    <w:r w:rsidRPr="00D52587">
      <w:rPr>
        <w:b/>
        <w:bCs/>
        <w:sz w:val="28"/>
        <w:szCs w:val="28"/>
      </w:rPr>
      <w:t>/</w:t>
    </w:r>
    <w:r w:rsidRPr="00D52587">
      <w:rPr>
        <w:strike/>
        <w:sz w:val="28"/>
        <w:szCs w:val="28"/>
      </w:rPr>
      <w:t>Deletions are struckthrough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5F782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167253"/>
    <w:multiLevelType w:val="hybridMultilevel"/>
    <w:tmpl w:val="A3161EAE"/>
    <w:lvl w:ilvl="0" w:tplc="FFFFFFFF">
      <w:start w:val="1"/>
      <w:numFmt w:val="decimal"/>
      <w:lvlText w:val="%1."/>
      <w:lvlJc w:val="left"/>
      <w:pPr>
        <w:ind w:left="1274" w:hanging="360"/>
      </w:pPr>
      <w:rPr>
        <w:rFonts w:ascii="Calibri" w:eastAsia="Calibri" w:hAnsi="Calibri" w:cs="Calibri" w:hint="default"/>
        <w:b w:val="0"/>
        <w:bCs w:val="0"/>
        <w:i w:val="0"/>
        <w:iCs w:val="0"/>
        <w:spacing w:val="-2"/>
        <w:w w:val="96"/>
        <w:sz w:val="24"/>
        <w:szCs w:val="24"/>
        <w:lang w:val="en-US" w:eastAsia="en-US" w:bidi="ar-SA"/>
      </w:rPr>
    </w:lvl>
    <w:lvl w:ilvl="1" w:tplc="FFFFFFFF">
      <w:numFmt w:val="bullet"/>
      <w:lvlText w:val="•"/>
      <w:lvlJc w:val="left"/>
      <w:pPr>
        <w:ind w:left="2226" w:hanging="360"/>
      </w:pPr>
      <w:rPr>
        <w:rFonts w:hint="default"/>
        <w:lang w:val="en-US" w:eastAsia="en-US" w:bidi="ar-SA"/>
      </w:rPr>
    </w:lvl>
    <w:lvl w:ilvl="2" w:tplc="FFFFFFFF">
      <w:numFmt w:val="bullet"/>
      <w:lvlText w:val="•"/>
      <w:lvlJc w:val="left"/>
      <w:pPr>
        <w:ind w:left="3172" w:hanging="360"/>
      </w:pPr>
      <w:rPr>
        <w:rFonts w:hint="default"/>
        <w:lang w:val="en-US" w:eastAsia="en-US" w:bidi="ar-SA"/>
      </w:rPr>
    </w:lvl>
    <w:lvl w:ilvl="3" w:tplc="FFFFFFFF">
      <w:numFmt w:val="bullet"/>
      <w:lvlText w:val="•"/>
      <w:lvlJc w:val="left"/>
      <w:pPr>
        <w:ind w:left="4118" w:hanging="360"/>
      </w:pPr>
      <w:rPr>
        <w:rFonts w:hint="default"/>
        <w:lang w:val="en-US" w:eastAsia="en-US" w:bidi="ar-SA"/>
      </w:rPr>
    </w:lvl>
    <w:lvl w:ilvl="4" w:tplc="FFFFFFFF">
      <w:numFmt w:val="bullet"/>
      <w:lvlText w:val="•"/>
      <w:lvlJc w:val="left"/>
      <w:pPr>
        <w:ind w:left="5064" w:hanging="360"/>
      </w:pPr>
      <w:rPr>
        <w:rFonts w:hint="default"/>
        <w:lang w:val="en-US" w:eastAsia="en-US" w:bidi="ar-SA"/>
      </w:rPr>
    </w:lvl>
    <w:lvl w:ilvl="5" w:tplc="FFFFFFFF">
      <w:numFmt w:val="bullet"/>
      <w:lvlText w:val="•"/>
      <w:lvlJc w:val="left"/>
      <w:pPr>
        <w:ind w:left="6010" w:hanging="360"/>
      </w:pPr>
      <w:rPr>
        <w:rFonts w:hint="default"/>
        <w:lang w:val="en-US" w:eastAsia="en-US" w:bidi="ar-SA"/>
      </w:rPr>
    </w:lvl>
    <w:lvl w:ilvl="6" w:tplc="FFFFFFFF">
      <w:numFmt w:val="bullet"/>
      <w:lvlText w:val="•"/>
      <w:lvlJc w:val="left"/>
      <w:pPr>
        <w:ind w:left="6956" w:hanging="360"/>
      </w:pPr>
      <w:rPr>
        <w:rFonts w:hint="default"/>
        <w:lang w:val="en-US" w:eastAsia="en-US" w:bidi="ar-SA"/>
      </w:rPr>
    </w:lvl>
    <w:lvl w:ilvl="7" w:tplc="FFFFFFFF">
      <w:numFmt w:val="bullet"/>
      <w:lvlText w:val="•"/>
      <w:lvlJc w:val="left"/>
      <w:pPr>
        <w:ind w:left="7902" w:hanging="360"/>
      </w:pPr>
      <w:rPr>
        <w:rFonts w:hint="default"/>
        <w:lang w:val="en-US" w:eastAsia="en-US" w:bidi="ar-SA"/>
      </w:rPr>
    </w:lvl>
    <w:lvl w:ilvl="8" w:tplc="FFFFFFFF">
      <w:numFmt w:val="bullet"/>
      <w:lvlText w:val="•"/>
      <w:lvlJc w:val="left"/>
      <w:pPr>
        <w:ind w:left="8848" w:hanging="360"/>
      </w:pPr>
      <w:rPr>
        <w:rFonts w:hint="default"/>
        <w:lang w:val="en-US" w:eastAsia="en-US" w:bidi="ar-SA"/>
      </w:rPr>
    </w:lvl>
  </w:abstractNum>
  <w:abstractNum w:abstractNumId="2" w15:restartNumberingAfterBreak="0">
    <w:nsid w:val="0A480EB9"/>
    <w:multiLevelType w:val="hybridMultilevel"/>
    <w:tmpl w:val="E9C85F56"/>
    <w:lvl w:ilvl="0" w:tplc="BDFE6070">
      <w:start w:val="1"/>
      <w:numFmt w:val="decimal"/>
      <w:lvlText w:val="%1."/>
      <w:lvlJc w:val="left"/>
      <w:pPr>
        <w:ind w:left="1240" w:hanging="360"/>
      </w:pPr>
      <w:rPr>
        <w:rFonts w:ascii="Calibri" w:eastAsia="Calibri" w:hAnsi="Calibri" w:cs="Calibri" w:hint="default"/>
        <w:b w:val="0"/>
        <w:bCs w:val="0"/>
        <w:i w:val="0"/>
        <w:iCs w:val="0"/>
        <w:spacing w:val="-2"/>
        <w:w w:val="100"/>
        <w:sz w:val="24"/>
        <w:szCs w:val="24"/>
        <w:lang w:val="en-US" w:eastAsia="en-US" w:bidi="ar-SA"/>
      </w:rPr>
    </w:lvl>
    <w:lvl w:ilvl="1" w:tplc="28408D6E">
      <w:numFmt w:val="bullet"/>
      <w:lvlText w:val="•"/>
      <w:lvlJc w:val="left"/>
      <w:pPr>
        <w:ind w:left="2190" w:hanging="360"/>
      </w:pPr>
      <w:rPr>
        <w:rFonts w:hint="default"/>
        <w:lang w:val="en-US" w:eastAsia="en-US" w:bidi="ar-SA"/>
      </w:rPr>
    </w:lvl>
    <w:lvl w:ilvl="2" w:tplc="501E2670">
      <w:numFmt w:val="bullet"/>
      <w:lvlText w:val="•"/>
      <w:lvlJc w:val="left"/>
      <w:pPr>
        <w:ind w:left="3140" w:hanging="360"/>
      </w:pPr>
      <w:rPr>
        <w:rFonts w:hint="default"/>
        <w:lang w:val="en-US" w:eastAsia="en-US" w:bidi="ar-SA"/>
      </w:rPr>
    </w:lvl>
    <w:lvl w:ilvl="3" w:tplc="137CC7EC">
      <w:numFmt w:val="bullet"/>
      <w:lvlText w:val="•"/>
      <w:lvlJc w:val="left"/>
      <w:pPr>
        <w:ind w:left="4090" w:hanging="360"/>
      </w:pPr>
      <w:rPr>
        <w:rFonts w:hint="default"/>
        <w:lang w:val="en-US" w:eastAsia="en-US" w:bidi="ar-SA"/>
      </w:rPr>
    </w:lvl>
    <w:lvl w:ilvl="4" w:tplc="58EA96C4">
      <w:numFmt w:val="bullet"/>
      <w:lvlText w:val="•"/>
      <w:lvlJc w:val="left"/>
      <w:pPr>
        <w:ind w:left="5040" w:hanging="360"/>
      </w:pPr>
      <w:rPr>
        <w:rFonts w:hint="default"/>
        <w:lang w:val="en-US" w:eastAsia="en-US" w:bidi="ar-SA"/>
      </w:rPr>
    </w:lvl>
    <w:lvl w:ilvl="5" w:tplc="5F1C1A76">
      <w:numFmt w:val="bullet"/>
      <w:lvlText w:val="•"/>
      <w:lvlJc w:val="left"/>
      <w:pPr>
        <w:ind w:left="5990" w:hanging="360"/>
      </w:pPr>
      <w:rPr>
        <w:rFonts w:hint="default"/>
        <w:lang w:val="en-US" w:eastAsia="en-US" w:bidi="ar-SA"/>
      </w:rPr>
    </w:lvl>
    <w:lvl w:ilvl="6" w:tplc="8E1A2388">
      <w:numFmt w:val="bullet"/>
      <w:lvlText w:val="•"/>
      <w:lvlJc w:val="left"/>
      <w:pPr>
        <w:ind w:left="6940" w:hanging="360"/>
      </w:pPr>
      <w:rPr>
        <w:rFonts w:hint="default"/>
        <w:lang w:val="en-US" w:eastAsia="en-US" w:bidi="ar-SA"/>
      </w:rPr>
    </w:lvl>
    <w:lvl w:ilvl="7" w:tplc="975C5386">
      <w:numFmt w:val="bullet"/>
      <w:lvlText w:val="•"/>
      <w:lvlJc w:val="left"/>
      <w:pPr>
        <w:ind w:left="7890" w:hanging="360"/>
      </w:pPr>
      <w:rPr>
        <w:rFonts w:hint="default"/>
        <w:lang w:val="en-US" w:eastAsia="en-US" w:bidi="ar-SA"/>
      </w:rPr>
    </w:lvl>
    <w:lvl w:ilvl="8" w:tplc="BD4EF4F4">
      <w:numFmt w:val="bullet"/>
      <w:lvlText w:val="•"/>
      <w:lvlJc w:val="left"/>
      <w:pPr>
        <w:ind w:left="8840" w:hanging="360"/>
      </w:pPr>
      <w:rPr>
        <w:rFonts w:hint="default"/>
        <w:lang w:val="en-US" w:eastAsia="en-US" w:bidi="ar-SA"/>
      </w:rPr>
    </w:lvl>
  </w:abstractNum>
  <w:abstractNum w:abstractNumId="3" w15:restartNumberingAfterBreak="0">
    <w:nsid w:val="0C5A1D01"/>
    <w:multiLevelType w:val="hybridMultilevel"/>
    <w:tmpl w:val="F1C26A00"/>
    <w:lvl w:ilvl="0" w:tplc="0966E6B8">
      <w:start w:val="1"/>
      <w:numFmt w:val="decimal"/>
      <w:lvlText w:val="%1."/>
      <w:lvlJc w:val="left"/>
      <w:pPr>
        <w:ind w:left="1240" w:hanging="360"/>
      </w:pPr>
      <w:rPr>
        <w:rFonts w:ascii="Calibri" w:eastAsia="Calibri" w:hAnsi="Calibri" w:cs="Calibri" w:hint="default"/>
        <w:b w:val="0"/>
        <w:bCs w:val="0"/>
        <w:i w:val="0"/>
        <w:iCs w:val="0"/>
        <w:spacing w:val="-2"/>
        <w:w w:val="100"/>
        <w:sz w:val="24"/>
        <w:szCs w:val="24"/>
        <w:lang w:val="en-US" w:eastAsia="en-US" w:bidi="ar-SA"/>
      </w:rPr>
    </w:lvl>
    <w:lvl w:ilvl="1" w:tplc="AD7AC990">
      <w:numFmt w:val="bullet"/>
      <w:lvlText w:val="•"/>
      <w:lvlJc w:val="left"/>
      <w:pPr>
        <w:ind w:left="2190" w:hanging="360"/>
      </w:pPr>
      <w:rPr>
        <w:rFonts w:hint="default"/>
        <w:lang w:val="en-US" w:eastAsia="en-US" w:bidi="ar-SA"/>
      </w:rPr>
    </w:lvl>
    <w:lvl w:ilvl="2" w:tplc="4FA03E4A">
      <w:numFmt w:val="bullet"/>
      <w:lvlText w:val="•"/>
      <w:lvlJc w:val="left"/>
      <w:pPr>
        <w:ind w:left="3140" w:hanging="360"/>
      </w:pPr>
      <w:rPr>
        <w:rFonts w:hint="default"/>
        <w:lang w:val="en-US" w:eastAsia="en-US" w:bidi="ar-SA"/>
      </w:rPr>
    </w:lvl>
    <w:lvl w:ilvl="3" w:tplc="29B09E66">
      <w:numFmt w:val="bullet"/>
      <w:lvlText w:val="•"/>
      <w:lvlJc w:val="left"/>
      <w:pPr>
        <w:ind w:left="4090" w:hanging="360"/>
      </w:pPr>
      <w:rPr>
        <w:rFonts w:hint="default"/>
        <w:lang w:val="en-US" w:eastAsia="en-US" w:bidi="ar-SA"/>
      </w:rPr>
    </w:lvl>
    <w:lvl w:ilvl="4" w:tplc="4C70F5AA">
      <w:numFmt w:val="bullet"/>
      <w:lvlText w:val="•"/>
      <w:lvlJc w:val="left"/>
      <w:pPr>
        <w:ind w:left="5040" w:hanging="360"/>
      </w:pPr>
      <w:rPr>
        <w:rFonts w:hint="default"/>
        <w:lang w:val="en-US" w:eastAsia="en-US" w:bidi="ar-SA"/>
      </w:rPr>
    </w:lvl>
    <w:lvl w:ilvl="5" w:tplc="137A6E62">
      <w:numFmt w:val="bullet"/>
      <w:lvlText w:val="•"/>
      <w:lvlJc w:val="left"/>
      <w:pPr>
        <w:ind w:left="5990" w:hanging="360"/>
      </w:pPr>
      <w:rPr>
        <w:rFonts w:hint="default"/>
        <w:lang w:val="en-US" w:eastAsia="en-US" w:bidi="ar-SA"/>
      </w:rPr>
    </w:lvl>
    <w:lvl w:ilvl="6" w:tplc="3F46C8E0">
      <w:numFmt w:val="bullet"/>
      <w:lvlText w:val="•"/>
      <w:lvlJc w:val="left"/>
      <w:pPr>
        <w:ind w:left="6940" w:hanging="360"/>
      </w:pPr>
      <w:rPr>
        <w:rFonts w:hint="default"/>
        <w:lang w:val="en-US" w:eastAsia="en-US" w:bidi="ar-SA"/>
      </w:rPr>
    </w:lvl>
    <w:lvl w:ilvl="7" w:tplc="D2D036DA">
      <w:numFmt w:val="bullet"/>
      <w:lvlText w:val="•"/>
      <w:lvlJc w:val="left"/>
      <w:pPr>
        <w:ind w:left="7890" w:hanging="360"/>
      </w:pPr>
      <w:rPr>
        <w:rFonts w:hint="default"/>
        <w:lang w:val="en-US" w:eastAsia="en-US" w:bidi="ar-SA"/>
      </w:rPr>
    </w:lvl>
    <w:lvl w:ilvl="8" w:tplc="BEAEB736">
      <w:numFmt w:val="bullet"/>
      <w:lvlText w:val="•"/>
      <w:lvlJc w:val="left"/>
      <w:pPr>
        <w:ind w:left="8840" w:hanging="360"/>
      </w:pPr>
      <w:rPr>
        <w:rFonts w:hint="default"/>
        <w:lang w:val="en-US" w:eastAsia="en-US" w:bidi="ar-SA"/>
      </w:rPr>
    </w:lvl>
  </w:abstractNum>
  <w:abstractNum w:abstractNumId="4" w15:restartNumberingAfterBreak="0">
    <w:nsid w:val="1583097A"/>
    <w:multiLevelType w:val="hybridMultilevel"/>
    <w:tmpl w:val="32184250"/>
    <w:lvl w:ilvl="0" w:tplc="457E5F8A">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6435D5"/>
    <w:multiLevelType w:val="hybridMultilevel"/>
    <w:tmpl w:val="066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226"/>
    <w:multiLevelType w:val="hybridMultilevel"/>
    <w:tmpl w:val="4AFE668C"/>
    <w:lvl w:ilvl="0" w:tplc="7BBAF68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89583B"/>
    <w:multiLevelType w:val="hybridMultilevel"/>
    <w:tmpl w:val="A3161EAE"/>
    <w:lvl w:ilvl="0" w:tplc="78F02DB0">
      <w:start w:val="1"/>
      <w:numFmt w:val="decimal"/>
      <w:lvlText w:val="%1."/>
      <w:lvlJc w:val="left"/>
      <w:pPr>
        <w:ind w:left="1274" w:hanging="360"/>
      </w:pPr>
      <w:rPr>
        <w:rFonts w:ascii="Calibri" w:eastAsia="Calibri" w:hAnsi="Calibri" w:cs="Calibri" w:hint="default"/>
        <w:b w:val="0"/>
        <w:bCs w:val="0"/>
        <w:i w:val="0"/>
        <w:iCs w:val="0"/>
        <w:spacing w:val="-2"/>
        <w:w w:val="96"/>
        <w:sz w:val="24"/>
        <w:szCs w:val="24"/>
        <w:lang w:val="en-US" w:eastAsia="en-US" w:bidi="ar-SA"/>
      </w:rPr>
    </w:lvl>
    <w:lvl w:ilvl="1" w:tplc="216EFC10">
      <w:numFmt w:val="bullet"/>
      <w:lvlText w:val="•"/>
      <w:lvlJc w:val="left"/>
      <w:pPr>
        <w:ind w:left="2226" w:hanging="360"/>
      </w:pPr>
      <w:rPr>
        <w:rFonts w:hint="default"/>
        <w:lang w:val="en-US" w:eastAsia="en-US" w:bidi="ar-SA"/>
      </w:rPr>
    </w:lvl>
    <w:lvl w:ilvl="2" w:tplc="B4C09C0E">
      <w:numFmt w:val="bullet"/>
      <w:lvlText w:val="•"/>
      <w:lvlJc w:val="left"/>
      <w:pPr>
        <w:ind w:left="3172" w:hanging="360"/>
      </w:pPr>
      <w:rPr>
        <w:rFonts w:hint="default"/>
        <w:lang w:val="en-US" w:eastAsia="en-US" w:bidi="ar-SA"/>
      </w:rPr>
    </w:lvl>
    <w:lvl w:ilvl="3" w:tplc="50CC0B64">
      <w:numFmt w:val="bullet"/>
      <w:lvlText w:val="•"/>
      <w:lvlJc w:val="left"/>
      <w:pPr>
        <w:ind w:left="4118" w:hanging="360"/>
      </w:pPr>
      <w:rPr>
        <w:rFonts w:hint="default"/>
        <w:lang w:val="en-US" w:eastAsia="en-US" w:bidi="ar-SA"/>
      </w:rPr>
    </w:lvl>
    <w:lvl w:ilvl="4" w:tplc="3B64D2C8">
      <w:numFmt w:val="bullet"/>
      <w:lvlText w:val="•"/>
      <w:lvlJc w:val="left"/>
      <w:pPr>
        <w:ind w:left="5064" w:hanging="360"/>
      </w:pPr>
      <w:rPr>
        <w:rFonts w:hint="default"/>
        <w:lang w:val="en-US" w:eastAsia="en-US" w:bidi="ar-SA"/>
      </w:rPr>
    </w:lvl>
    <w:lvl w:ilvl="5" w:tplc="FDBE0BE0">
      <w:numFmt w:val="bullet"/>
      <w:lvlText w:val="•"/>
      <w:lvlJc w:val="left"/>
      <w:pPr>
        <w:ind w:left="6010" w:hanging="360"/>
      </w:pPr>
      <w:rPr>
        <w:rFonts w:hint="default"/>
        <w:lang w:val="en-US" w:eastAsia="en-US" w:bidi="ar-SA"/>
      </w:rPr>
    </w:lvl>
    <w:lvl w:ilvl="6" w:tplc="FF5E747A">
      <w:numFmt w:val="bullet"/>
      <w:lvlText w:val="•"/>
      <w:lvlJc w:val="left"/>
      <w:pPr>
        <w:ind w:left="6956" w:hanging="360"/>
      </w:pPr>
      <w:rPr>
        <w:rFonts w:hint="default"/>
        <w:lang w:val="en-US" w:eastAsia="en-US" w:bidi="ar-SA"/>
      </w:rPr>
    </w:lvl>
    <w:lvl w:ilvl="7" w:tplc="FC04ADF6">
      <w:numFmt w:val="bullet"/>
      <w:lvlText w:val="•"/>
      <w:lvlJc w:val="left"/>
      <w:pPr>
        <w:ind w:left="7902" w:hanging="360"/>
      </w:pPr>
      <w:rPr>
        <w:rFonts w:hint="default"/>
        <w:lang w:val="en-US" w:eastAsia="en-US" w:bidi="ar-SA"/>
      </w:rPr>
    </w:lvl>
    <w:lvl w:ilvl="8" w:tplc="3C9EE05A">
      <w:numFmt w:val="bullet"/>
      <w:lvlText w:val="•"/>
      <w:lvlJc w:val="left"/>
      <w:pPr>
        <w:ind w:left="8848" w:hanging="360"/>
      </w:pPr>
      <w:rPr>
        <w:rFonts w:hint="default"/>
        <w:lang w:val="en-US" w:eastAsia="en-US" w:bidi="ar-SA"/>
      </w:rPr>
    </w:lvl>
  </w:abstractNum>
  <w:abstractNum w:abstractNumId="8" w15:restartNumberingAfterBreak="0">
    <w:nsid w:val="26C63CF3"/>
    <w:multiLevelType w:val="hybridMultilevel"/>
    <w:tmpl w:val="F51CF746"/>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BA13FE"/>
    <w:multiLevelType w:val="hybridMultilevel"/>
    <w:tmpl w:val="68DACD8C"/>
    <w:lvl w:ilvl="0" w:tplc="08921B3E">
      <w:start w:val="1"/>
      <w:numFmt w:val="decimal"/>
      <w:lvlText w:val="%1."/>
      <w:lvlJc w:val="left"/>
      <w:pPr>
        <w:ind w:left="1240" w:hanging="413"/>
      </w:pPr>
      <w:rPr>
        <w:rFonts w:ascii="Calibri" w:eastAsia="Calibri" w:hAnsi="Calibri" w:cs="Calibri" w:hint="default"/>
        <w:b w:val="0"/>
        <w:bCs w:val="0"/>
        <w:i w:val="0"/>
        <w:iCs w:val="0"/>
        <w:spacing w:val="-2"/>
        <w:w w:val="100"/>
        <w:sz w:val="24"/>
        <w:szCs w:val="24"/>
        <w:lang w:val="en-US" w:eastAsia="en-US" w:bidi="ar-SA"/>
      </w:rPr>
    </w:lvl>
    <w:lvl w:ilvl="1" w:tplc="66D20430">
      <w:numFmt w:val="bullet"/>
      <w:lvlText w:val="•"/>
      <w:lvlJc w:val="left"/>
      <w:pPr>
        <w:ind w:left="2190" w:hanging="413"/>
      </w:pPr>
      <w:rPr>
        <w:rFonts w:hint="default"/>
        <w:lang w:val="en-US" w:eastAsia="en-US" w:bidi="ar-SA"/>
      </w:rPr>
    </w:lvl>
    <w:lvl w:ilvl="2" w:tplc="F9A827CA">
      <w:numFmt w:val="bullet"/>
      <w:lvlText w:val="•"/>
      <w:lvlJc w:val="left"/>
      <w:pPr>
        <w:ind w:left="3140" w:hanging="413"/>
      </w:pPr>
      <w:rPr>
        <w:rFonts w:hint="default"/>
        <w:lang w:val="en-US" w:eastAsia="en-US" w:bidi="ar-SA"/>
      </w:rPr>
    </w:lvl>
    <w:lvl w:ilvl="3" w:tplc="DECA696E">
      <w:numFmt w:val="bullet"/>
      <w:lvlText w:val="•"/>
      <w:lvlJc w:val="left"/>
      <w:pPr>
        <w:ind w:left="4090" w:hanging="413"/>
      </w:pPr>
      <w:rPr>
        <w:rFonts w:hint="default"/>
        <w:lang w:val="en-US" w:eastAsia="en-US" w:bidi="ar-SA"/>
      </w:rPr>
    </w:lvl>
    <w:lvl w:ilvl="4" w:tplc="104ECA5E">
      <w:numFmt w:val="bullet"/>
      <w:lvlText w:val="•"/>
      <w:lvlJc w:val="left"/>
      <w:pPr>
        <w:ind w:left="5040" w:hanging="413"/>
      </w:pPr>
      <w:rPr>
        <w:rFonts w:hint="default"/>
        <w:lang w:val="en-US" w:eastAsia="en-US" w:bidi="ar-SA"/>
      </w:rPr>
    </w:lvl>
    <w:lvl w:ilvl="5" w:tplc="11BCB4AA">
      <w:numFmt w:val="bullet"/>
      <w:lvlText w:val="•"/>
      <w:lvlJc w:val="left"/>
      <w:pPr>
        <w:ind w:left="5990" w:hanging="413"/>
      </w:pPr>
      <w:rPr>
        <w:rFonts w:hint="default"/>
        <w:lang w:val="en-US" w:eastAsia="en-US" w:bidi="ar-SA"/>
      </w:rPr>
    </w:lvl>
    <w:lvl w:ilvl="6" w:tplc="6FEC53B4">
      <w:numFmt w:val="bullet"/>
      <w:lvlText w:val="•"/>
      <w:lvlJc w:val="left"/>
      <w:pPr>
        <w:ind w:left="6940" w:hanging="413"/>
      </w:pPr>
      <w:rPr>
        <w:rFonts w:hint="default"/>
        <w:lang w:val="en-US" w:eastAsia="en-US" w:bidi="ar-SA"/>
      </w:rPr>
    </w:lvl>
    <w:lvl w:ilvl="7" w:tplc="A5E4882A">
      <w:numFmt w:val="bullet"/>
      <w:lvlText w:val="•"/>
      <w:lvlJc w:val="left"/>
      <w:pPr>
        <w:ind w:left="7890" w:hanging="413"/>
      </w:pPr>
      <w:rPr>
        <w:rFonts w:hint="default"/>
        <w:lang w:val="en-US" w:eastAsia="en-US" w:bidi="ar-SA"/>
      </w:rPr>
    </w:lvl>
    <w:lvl w:ilvl="8" w:tplc="2AC07046">
      <w:numFmt w:val="bullet"/>
      <w:lvlText w:val="•"/>
      <w:lvlJc w:val="left"/>
      <w:pPr>
        <w:ind w:left="8840" w:hanging="413"/>
      </w:pPr>
      <w:rPr>
        <w:rFonts w:hint="default"/>
        <w:lang w:val="en-US" w:eastAsia="en-US" w:bidi="ar-SA"/>
      </w:rPr>
    </w:lvl>
  </w:abstractNum>
  <w:abstractNum w:abstractNumId="10" w15:restartNumberingAfterBreak="0">
    <w:nsid w:val="6DFE699F"/>
    <w:multiLevelType w:val="hybridMultilevel"/>
    <w:tmpl w:val="B2FA9452"/>
    <w:lvl w:ilvl="0" w:tplc="76003B7C">
      <w:start w:val="1"/>
      <w:numFmt w:val="decimal"/>
      <w:lvlText w:val="%1."/>
      <w:lvlJc w:val="left"/>
      <w:pPr>
        <w:ind w:left="1240" w:hanging="360"/>
      </w:pPr>
      <w:rPr>
        <w:rFonts w:ascii="Calibri" w:eastAsia="Calibri" w:hAnsi="Calibri" w:cs="Calibri" w:hint="default"/>
        <w:b w:val="0"/>
        <w:bCs w:val="0"/>
        <w:i w:val="0"/>
        <w:iCs w:val="0"/>
        <w:spacing w:val="-2"/>
        <w:w w:val="100"/>
        <w:sz w:val="24"/>
        <w:szCs w:val="24"/>
        <w:lang w:val="en-US" w:eastAsia="en-US" w:bidi="ar-SA"/>
      </w:rPr>
    </w:lvl>
    <w:lvl w:ilvl="1" w:tplc="827C3492">
      <w:numFmt w:val="bullet"/>
      <w:lvlText w:val=""/>
      <w:lvlJc w:val="left"/>
      <w:pPr>
        <w:ind w:left="1961" w:hanging="360"/>
      </w:pPr>
      <w:rPr>
        <w:rFonts w:ascii="Wingdings" w:eastAsia="Wingdings" w:hAnsi="Wingdings" w:cs="Wingdings" w:hint="default"/>
        <w:b w:val="0"/>
        <w:bCs w:val="0"/>
        <w:i w:val="0"/>
        <w:iCs w:val="0"/>
        <w:spacing w:val="0"/>
        <w:w w:val="100"/>
        <w:sz w:val="24"/>
        <w:szCs w:val="24"/>
        <w:lang w:val="en-US" w:eastAsia="en-US" w:bidi="ar-SA"/>
      </w:rPr>
    </w:lvl>
    <w:lvl w:ilvl="2" w:tplc="4C1A0DDA">
      <w:numFmt w:val="bullet"/>
      <w:lvlText w:val=""/>
      <w:lvlJc w:val="left"/>
      <w:pPr>
        <w:ind w:left="2681" w:hanging="361"/>
      </w:pPr>
      <w:rPr>
        <w:rFonts w:ascii="Symbol" w:eastAsia="Symbol" w:hAnsi="Symbol" w:cs="Symbol" w:hint="default"/>
        <w:b w:val="0"/>
        <w:bCs w:val="0"/>
        <w:i w:val="0"/>
        <w:iCs w:val="0"/>
        <w:spacing w:val="0"/>
        <w:w w:val="100"/>
        <w:sz w:val="24"/>
        <w:szCs w:val="24"/>
        <w:lang w:val="en-US" w:eastAsia="en-US" w:bidi="ar-SA"/>
      </w:rPr>
    </w:lvl>
    <w:lvl w:ilvl="3" w:tplc="BB6CD4A0">
      <w:numFmt w:val="bullet"/>
      <w:lvlText w:val="•"/>
      <w:lvlJc w:val="left"/>
      <w:pPr>
        <w:ind w:left="3687" w:hanging="361"/>
      </w:pPr>
      <w:rPr>
        <w:rFonts w:hint="default"/>
        <w:lang w:val="en-US" w:eastAsia="en-US" w:bidi="ar-SA"/>
      </w:rPr>
    </w:lvl>
    <w:lvl w:ilvl="4" w:tplc="A7D05EA4">
      <w:numFmt w:val="bullet"/>
      <w:lvlText w:val="•"/>
      <w:lvlJc w:val="left"/>
      <w:pPr>
        <w:ind w:left="4695" w:hanging="361"/>
      </w:pPr>
      <w:rPr>
        <w:rFonts w:hint="default"/>
        <w:lang w:val="en-US" w:eastAsia="en-US" w:bidi="ar-SA"/>
      </w:rPr>
    </w:lvl>
    <w:lvl w:ilvl="5" w:tplc="0FC08D58">
      <w:numFmt w:val="bullet"/>
      <w:lvlText w:val="•"/>
      <w:lvlJc w:val="left"/>
      <w:pPr>
        <w:ind w:left="5702" w:hanging="361"/>
      </w:pPr>
      <w:rPr>
        <w:rFonts w:hint="default"/>
        <w:lang w:val="en-US" w:eastAsia="en-US" w:bidi="ar-SA"/>
      </w:rPr>
    </w:lvl>
    <w:lvl w:ilvl="6" w:tplc="FC5CDE56">
      <w:numFmt w:val="bullet"/>
      <w:lvlText w:val="•"/>
      <w:lvlJc w:val="left"/>
      <w:pPr>
        <w:ind w:left="6710" w:hanging="361"/>
      </w:pPr>
      <w:rPr>
        <w:rFonts w:hint="default"/>
        <w:lang w:val="en-US" w:eastAsia="en-US" w:bidi="ar-SA"/>
      </w:rPr>
    </w:lvl>
    <w:lvl w:ilvl="7" w:tplc="039CCC98">
      <w:numFmt w:val="bullet"/>
      <w:lvlText w:val="•"/>
      <w:lvlJc w:val="left"/>
      <w:pPr>
        <w:ind w:left="7717" w:hanging="361"/>
      </w:pPr>
      <w:rPr>
        <w:rFonts w:hint="default"/>
        <w:lang w:val="en-US" w:eastAsia="en-US" w:bidi="ar-SA"/>
      </w:rPr>
    </w:lvl>
    <w:lvl w:ilvl="8" w:tplc="734816DC">
      <w:numFmt w:val="bullet"/>
      <w:lvlText w:val="•"/>
      <w:lvlJc w:val="left"/>
      <w:pPr>
        <w:ind w:left="8725" w:hanging="361"/>
      </w:pPr>
      <w:rPr>
        <w:rFonts w:hint="default"/>
        <w:lang w:val="en-US" w:eastAsia="en-US" w:bidi="ar-SA"/>
      </w:rPr>
    </w:lvl>
  </w:abstractNum>
  <w:abstractNum w:abstractNumId="11" w15:restartNumberingAfterBreak="0">
    <w:nsid w:val="6F376460"/>
    <w:multiLevelType w:val="hybridMultilevel"/>
    <w:tmpl w:val="68DACD8C"/>
    <w:lvl w:ilvl="0" w:tplc="FFFFFFFF">
      <w:start w:val="1"/>
      <w:numFmt w:val="decimal"/>
      <w:lvlText w:val="%1."/>
      <w:lvlJc w:val="left"/>
      <w:pPr>
        <w:ind w:left="1240" w:hanging="413"/>
      </w:pPr>
      <w:rPr>
        <w:rFonts w:ascii="Calibri" w:eastAsia="Calibri" w:hAnsi="Calibri" w:cs="Calibri" w:hint="default"/>
        <w:b w:val="0"/>
        <w:bCs w:val="0"/>
        <w:i w:val="0"/>
        <w:iCs w:val="0"/>
        <w:spacing w:val="-2"/>
        <w:w w:val="100"/>
        <w:sz w:val="24"/>
        <w:szCs w:val="24"/>
        <w:lang w:val="en-US" w:eastAsia="en-US" w:bidi="ar-SA"/>
      </w:rPr>
    </w:lvl>
    <w:lvl w:ilvl="1" w:tplc="FFFFFFFF">
      <w:numFmt w:val="bullet"/>
      <w:lvlText w:val="•"/>
      <w:lvlJc w:val="left"/>
      <w:pPr>
        <w:ind w:left="2190" w:hanging="413"/>
      </w:pPr>
      <w:rPr>
        <w:rFonts w:hint="default"/>
        <w:lang w:val="en-US" w:eastAsia="en-US" w:bidi="ar-SA"/>
      </w:rPr>
    </w:lvl>
    <w:lvl w:ilvl="2" w:tplc="FFFFFFFF">
      <w:numFmt w:val="bullet"/>
      <w:lvlText w:val="•"/>
      <w:lvlJc w:val="left"/>
      <w:pPr>
        <w:ind w:left="3140" w:hanging="413"/>
      </w:pPr>
      <w:rPr>
        <w:rFonts w:hint="default"/>
        <w:lang w:val="en-US" w:eastAsia="en-US" w:bidi="ar-SA"/>
      </w:rPr>
    </w:lvl>
    <w:lvl w:ilvl="3" w:tplc="FFFFFFFF">
      <w:numFmt w:val="bullet"/>
      <w:lvlText w:val="•"/>
      <w:lvlJc w:val="left"/>
      <w:pPr>
        <w:ind w:left="4090" w:hanging="413"/>
      </w:pPr>
      <w:rPr>
        <w:rFonts w:hint="default"/>
        <w:lang w:val="en-US" w:eastAsia="en-US" w:bidi="ar-SA"/>
      </w:rPr>
    </w:lvl>
    <w:lvl w:ilvl="4" w:tplc="FFFFFFFF">
      <w:numFmt w:val="bullet"/>
      <w:lvlText w:val="•"/>
      <w:lvlJc w:val="left"/>
      <w:pPr>
        <w:ind w:left="5040" w:hanging="413"/>
      </w:pPr>
      <w:rPr>
        <w:rFonts w:hint="default"/>
        <w:lang w:val="en-US" w:eastAsia="en-US" w:bidi="ar-SA"/>
      </w:rPr>
    </w:lvl>
    <w:lvl w:ilvl="5" w:tplc="FFFFFFFF">
      <w:numFmt w:val="bullet"/>
      <w:lvlText w:val="•"/>
      <w:lvlJc w:val="left"/>
      <w:pPr>
        <w:ind w:left="5990" w:hanging="413"/>
      </w:pPr>
      <w:rPr>
        <w:rFonts w:hint="default"/>
        <w:lang w:val="en-US" w:eastAsia="en-US" w:bidi="ar-SA"/>
      </w:rPr>
    </w:lvl>
    <w:lvl w:ilvl="6" w:tplc="FFFFFFFF">
      <w:numFmt w:val="bullet"/>
      <w:lvlText w:val="•"/>
      <w:lvlJc w:val="left"/>
      <w:pPr>
        <w:ind w:left="6940" w:hanging="413"/>
      </w:pPr>
      <w:rPr>
        <w:rFonts w:hint="default"/>
        <w:lang w:val="en-US" w:eastAsia="en-US" w:bidi="ar-SA"/>
      </w:rPr>
    </w:lvl>
    <w:lvl w:ilvl="7" w:tplc="FFFFFFFF">
      <w:numFmt w:val="bullet"/>
      <w:lvlText w:val="•"/>
      <w:lvlJc w:val="left"/>
      <w:pPr>
        <w:ind w:left="7890" w:hanging="413"/>
      </w:pPr>
      <w:rPr>
        <w:rFonts w:hint="default"/>
        <w:lang w:val="en-US" w:eastAsia="en-US" w:bidi="ar-SA"/>
      </w:rPr>
    </w:lvl>
    <w:lvl w:ilvl="8" w:tplc="FFFFFFFF">
      <w:numFmt w:val="bullet"/>
      <w:lvlText w:val="•"/>
      <w:lvlJc w:val="left"/>
      <w:pPr>
        <w:ind w:left="8840" w:hanging="413"/>
      </w:pPr>
      <w:rPr>
        <w:rFonts w:hint="default"/>
        <w:lang w:val="en-US" w:eastAsia="en-US" w:bidi="ar-SA"/>
      </w:rPr>
    </w:lvl>
  </w:abstractNum>
  <w:num w:numId="1" w16cid:durableId="975068195">
    <w:abstractNumId w:val="7"/>
  </w:num>
  <w:num w:numId="2" w16cid:durableId="1613049563">
    <w:abstractNumId w:val="2"/>
  </w:num>
  <w:num w:numId="3" w16cid:durableId="1428186606">
    <w:abstractNumId w:val="10"/>
  </w:num>
  <w:num w:numId="4" w16cid:durableId="2048141671">
    <w:abstractNumId w:val="3"/>
  </w:num>
  <w:num w:numId="5" w16cid:durableId="1527133594">
    <w:abstractNumId w:val="9"/>
  </w:num>
  <w:num w:numId="6" w16cid:durableId="844050015">
    <w:abstractNumId w:val="8"/>
  </w:num>
  <w:num w:numId="7" w16cid:durableId="1951470772">
    <w:abstractNumId w:val="11"/>
  </w:num>
  <w:num w:numId="8" w16cid:durableId="489173245">
    <w:abstractNumId w:val="1"/>
  </w:num>
  <w:num w:numId="9" w16cid:durableId="471100397">
    <w:abstractNumId w:val="0"/>
  </w:num>
  <w:num w:numId="10" w16cid:durableId="402334055">
    <w:abstractNumId w:val="5"/>
  </w:num>
  <w:num w:numId="11" w16cid:durableId="360398646">
    <w:abstractNumId w:val="6"/>
  </w:num>
  <w:num w:numId="12" w16cid:durableId="1534802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DF1"/>
    <w:rsid w:val="0005530F"/>
    <w:rsid w:val="000A506A"/>
    <w:rsid w:val="000D1C85"/>
    <w:rsid w:val="001421C6"/>
    <w:rsid w:val="00163252"/>
    <w:rsid w:val="00196959"/>
    <w:rsid w:val="001E28CF"/>
    <w:rsid w:val="00213DF4"/>
    <w:rsid w:val="00286C45"/>
    <w:rsid w:val="00290BD3"/>
    <w:rsid w:val="00296425"/>
    <w:rsid w:val="003306FB"/>
    <w:rsid w:val="00331C6F"/>
    <w:rsid w:val="003333BD"/>
    <w:rsid w:val="00342D8B"/>
    <w:rsid w:val="003845BE"/>
    <w:rsid w:val="003A23AA"/>
    <w:rsid w:val="003B3B76"/>
    <w:rsid w:val="003D13C0"/>
    <w:rsid w:val="003E4F18"/>
    <w:rsid w:val="00440CB5"/>
    <w:rsid w:val="00460754"/>
    <w:rsid w:val="004B32D7"/>
    <w:rsid w:val="004B40C9"/>
    <w:rsid w:val="004E123E"/>
    <w:rsid w:val="005545FA"/>
    <w:rsid w:val="005F1693"/>
    <w:rsid w:val="00610625"/>
    <w:rsid w:val="00652BFB"/>
    <w:rsid w:val="00805D44"/>
    <w:rsid w:val="00807C4B"/>
    <w:rsid w:val="0086787E"/>
    <w:rsid w:val="00871A26"/>
    <w:rsid w:val="00884093"/>
    <w:rsid w:val="008D37BF"/>
    <w:rsid w:val="009165DB"/>
    <w:rsid w:val="00963453"/>
    <w:rsid w:val="00995C64"/>
    <w:rsid w:val="009C7CA6"/>
    <w:rsid w:val="00A15A3B"/>
    <w:rsid w:val="00A9199B"/>
    <w:rsid w:val="00A92EBA"/>
    <w:rsid w:val="00AA711B"/>
    <w:rsid w:val="00AC1251"/>
    <w:rsid w:val="00AE62FE"/>
    <w:rsid w:val="00B811BF"/>
    <w:rsid w:val="00B90D51"/>
    <w:rsid w:val="00B9797C"/>
    <w:rsid w:val="00BA6980"/>
    <w:rsid w:val="00BD4A83"/>
    <w:rsid w:val="00BF76FA"/>
    <w:rsid w:val="00C06FD6"/>
    <w:rsid w:val="00C625A2"/>
    <w:rsid w:val="00CB5943"/>
    <w:rsid w:val="00CF62EF"/>
    <w:rsid w:val="00D52587"/>
    <w:rsid w:val="00D75A22"/>
    <w:rsid w:val="00D84918"/>
    <w:rsid w:val="00DA7B3F"/>
    <w:rsid w:val="00DE74D3"/>
    <w:rsid w:val="00E33DF1"/>
    <w:rsid w:val="00E7174B"/>
    <w:rsid w:val="00E81D02"/>
    <w:rsid w:val="00EC4EC8"/>
    <w:rsid w:val="00F204E2"/>
    <w:rsid w:val="00F20C78"/>
    <w:rsid w:val="00F3078A"/>
    <w:rsid w:val="00F30CEC"/>
    <w:rsid w:val="00F80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0E59B"/>
  <w15:docId w15:val="{EB6E7246-78DA-4F37-AB45-3E7110BB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20"/>
      <w:outlineLvl w:val="0"/>
    </w:pPr>
    <w:rPr>
      <w:b/>
      <w:bCs/>
      <w:sz w:val="24"/>
      <w:szCs w:val="24"/>
    </w:rPr>
  </w:style>
  <w:style w:type="paragraph" w:styleId="Heading2">
    <w:name w:val="heading 2"/>
    <w:basedOn w:val="Normal"/>
    <w:next w:val="Normal"/>
    <w:link w:val="Heading2Char"/>
    <w:uiPriority w:val="9"/>
    <w:semiHidden/>
    <w:unhideWhenUsed/>
    <w:qFormat/>
    <w:rsid w:val="00F20C7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20C7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0"/>
    <w:qFormat/>
    <w:pPr>
      <w:spacing w:line="536" w:lineRule="exact"/>
      <w:ind w:left="1557" w:right="1177"/>
      <w:jc w:val="center"/>
    </w:pPr>
    <w:rPr>
      <w:sz w:val="44"/>
      <w:szCs w:val="44"/>
    </w:rPr>
  </w:style>
  <w:style w:type="paragraph" w:styleId="ListParagraph">
    <w:name w:val="List Paragraph"/>
    <w:basedOn w:val="Normal"/>
    <w:uiPriority w:val="34"/>
    <w:qFormat/>
    <w:pPr>
      <w:ind w:left="12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3078A"/>
    <w:pPr>
      <w:tabs>
        <w:tab w:val="center" w:pos="4680"/>
        <w:tab w:val="right" w:pos="9360"/>
      </w:tabs>
    </w:pPr>
  </w:style>
  <w:style w:type="character" w:customStyle="1" w:styleId="HeaderChar">
    <w:name w:val="Header Char"/>
    <w:basedOn w:val="DefaultParagraphFont"/>
    <w:link w:val="Header"/>
    <w:uiPriority w:val="99"/>
    <w:rsid w:val="00F3078A"/>
    <w:rPr>
      <w:rFonts w:ascii="Calibri" w:eastAsia="Calibri" w:hAnsi="Calibri" w:cs="Calibri"/>
    </w:rPr>
  </w:style>
  <w:style w:type="paragraph" w:styleId="Footer">
    <w:name w:val="footer"/>
    <w:basedOn w:val="Normal"/>
    <w:link w:val="FooterChar"/>
    <w:uiPriority w:val="99"/>
    <w:unhideWhenUsed/>
    <w:rsid w:val="00F3078A"/>
    <w:pPr>
      <w:tabs>
        <w:tab w:val="center" w:pos="4680"/>
        <w:tab w:val="right" w:pos="9360"/>
      </w:tabs>
    </w:pPr>
  </w:style>
  <w:style w:type="character" w:customStyle="1" w:styleId="FooterChar">
    <w:name w:val="Footer Char"/>
    <w:basedOn w:val="DefaultParagraphFont"/>
    <w:link w:val="Footer"/>
    <w:uiPriority w:val="99"/>
    <w:rsid w:val="00F3078A"/>
    <w:rPr>
      <w:rFonts w:ascii="Calibri" w:eastAsia="Calibri" w:hAnsi="Calibri" w:cs="Calibri"/>
    </w:rPr>
  </w:style>
  <w:style w:type="character" w:styleId="PlaceholderText">
    <w:name w:val="Placeholder Text"/>
    <w:basedOn w:val="DefaultParagraphFont"/>
    <w:uiPriority w:val="99"/>
    <w:semiHidden/>
    <w:rsid w:val="00460754"/>
    <w:rPr>
      <w:color w:val="666666"/>
    </w:rPr>
  </w:style>
  <w:style w:type="character" w:customStyle="1" w:styleId="BodyTextChar">
    <w:name w:val="Body Text Char"/>
    <w:basedOn w:val="DefaultParagraphFont"/>
    <w:link w:val="BodyText"/>
    <w:uiPriority w:val="1"/>
    <w:rsid w:val="005F1693"/>
    <w:rPr>
      <w:rFonts w:ascii="Calibri" w:eastAsia="Calibri" w:hAnsi="Calibri" w:cs="Calibri"/>
      <w:sz w:val="24"/>
      <w:szCs w:val="24"/>
    </w:rPr>
  </w:style>
  <w:style w:type="character" w:customStyle="1" w:styleId="TitleChar">
    <w:name w:val="Title Char"/>
    <w:basedOn w:val="DefaultParagraphFont"/>
    <w:link w:val="Title"/>
    <w:uiPriority w:val="10"/>
    <w:rsid w:val="005F1693"/>
    <w:rPr>
      <w:rFonts w:ascii="Calibri" w:eastAsia="Calibri" w:hAnsi="Calibri" w:cs="Calibri"/>
      <w:sz w:val="44"/>
      <w:szCs w:val="44"/>
    </w:rPr>
  </w:style>
  <w:style w:type="paragraph" w:customStyle="1" w:styleId="Default">
    <w:name w:val="Default"/>
    <w:rsid w:val="00C06FD6"/>
    <w:pPr>
      <w:widowControl/>
      <w:adjustRightInd w:val="0"/>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F20C78"/>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F20C78"/>
    <w:rPr>
      <w:rFonts w:asciiTheme="majorHAnsi" w:eastAsiaTheme="majorEastAsia" w:hAnsiTheme="majorHAnsi" w:cstheme="majorBidi"/>
      <w:color w:val="365F91" w:themeColor="accent1" w:themeShade="BF"/>
      <w:sz w:val="26"/>
      <w:szCs w:val="26"/>
    </w:rPr>
  </w:style>
  <w:style w:type="character" w:styleId="FootnoteReference">
    <w:name w:val="footnote reference"/>
    <w:semiHidden/>
    <w:rsid w:val="005545FA"/>
  </w:style>
  <w:style w:type="paragraph" w:styleId="FootnoteText">
    <w:name w:val="footnote text"/>
    <w:basedOn w:val="Normal"/>
    <w:link w:val="FootnoteTextChar"/>
    <w:semiHidden/>
    <w:rsid w:val="005545FA"/>
    <w:pPr>
      <w:autoSpaceDE/>
      <w:autoSpaceDN/>
    </w:pPr>
    <w:rPr>
      <w:rFonts w:ascii="Times New Roman" w:eastAsia="Times New Roman" w:hAnsi="Times New Roman" w:cs="Times New Roman"/>
      <w:color w:val="000000"/>
      <w:sz w:val="20"/>
      <w:szCs w:val="24"/>
      <w:u w:val="single"/>
    </w:rPr>
  </w:style>
  <w:style w:type="character" w:customStyle="1" w:styleId="FootnoteTextChar">
    <w:name w:val="Footnote Text Char"/>
    <w:basedOn w:val="DefaultParagraphFont"/>
    <w:link w:val="FootnoteText"/>
    <w:semiHidden/>
    <w:rsid w:val="005545FA"/>
    <w:rPr>
      <w:rFonts w:ascii="Times New Roman" w:eastAsia="Times New Roman" w:hAnsi="Times New Roman" w:cs="Times New Roman"/>
      <w:color w:val="000000"/>
      <w:sz w:val="20"/>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4</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Eaton</dc:creator>
  <cp:lastModifiedBy>Jana Roberson</cp:lastModifiedBy>
  <cp:revision>8</cp:revision>
  <cp:lastPrinted>2025-05-27T17:36:00Z</cp:lastPrinted>
  <dcterms:created xsi:type="dcterms:W3CDTF">2024-12-11T15:56:00Z</dcterms:created>
  <dcterms:modified xsi:type="dcterms:W3CDTF">2025-05-27T19:54:00Z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Creator">
    <vt:lpwstr>Microsoft® Word for Microsoft 365</vt:lpwstr>
  </property>
  <property fmtid="{D5CDD505-2E9C-101B-9397-08002B2CF9AE}" pid="4" name="LastSaved">
    <vt:filetime>2023-12-11T00:00:00Z</vt:filetime>
  </property>
  <property fmtid="{D5CDD505-2E9C-101B-9397-08002B2CF9AE}" pid="5" name="Producer">
    <vt:lpwstr>Microsoft® Word for Microsoft 365</vt:lpwstr>
  </property>
</Properties>
</file>